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E" w:rsidRPr="00044196" w:rsidRDefault="008267D6" w:rsidP="00277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196">
        <w:rPr>
          <w:rFonts w:ascii="Arial" w:hAnsi="Arial" w:cs="Arial"/>
          <w:b/>
          <w:sz w:val="20"/>
          <w:szCs w:val="20"/>
        </w:rPr>
        <w:t xml:space="preserve">УДК </w:t>
      </w:r>
      <w:r w:rsidR="001377BF" w:rsidRPr="00044196">
        <w:rPr>
          <w:rFonts w:ascii="Arial" w:hAnsi="Arial" w:cs="Arial"/>
          <w:b/>
          <w:sz w:val="20"/>
          <w:szCs w:val="20"/>
        </w:rPr>
        <w:t>658.1:339.142</w:t>
      </w:r>
      <w:r w:rsidR="001377BF" w:rsidRPr="00044196">
        <w:rPr>
          <w:rFonts w:ascii="Arial" w:hAnsi="Arial" w:cs="Arial"/>
          <w:b/>
          <w:sz w:val="20"/>
          <w:szCs w:val="20"/>
        </w:rPr>
        <w:cr/>
      </w:r>
      <w:r w:rsidR="00F47E4E" w:rsidRPr="00044196">
        <w:rPr>
          <w:rFonts w:ascii="Arial" w:hAnsi="Arial" w:cs="Arial"/>
          <w:b/>
          <w:sz w:val="24"/>
          <w:szCs w:val="24"/>
        </w:rPr>
        <w:t>ФАКТОРИНГ КАК МЕХАНИЗМ УВЕЛИЧЕНИЯ ТОВАРООБОРОТА КОМПАНИИ</w:t>
      </w:r>
    </w:p>
    <w:p w:rsidR="008267D6" w:rsidRPr="00044196" w:rsidRDefault="008267D6" w:rsidP="00277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7D6" w:rsidRPr="00044196" w:rsidRDefault="008267D6" w:rsidP="00277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4196">
        <w:rPr>
          <w:rFonts w:ascii="Arial" w:hAnsi="Arial" w:cs="Arial"/>
          <w:b/>
          <w:sz w:val="24"/>
          <w:szCs w:val="24"/>
        </w:rPr>
        <w:t>Я.И. Заиченко</w:t>
      </w:r>
      <w:r w:rsidRPr="00044196">
        <w:rPr>
          <w:rStyle w:val="ab"/>
          <w:rFonts w:ascii="Arial" w:hAnsi="Arial" w:cs="Arial"/>
          <w:b/>
          <w:sz w:val="24"/>
          <w:szCs w:val="24"/>
        </w:rPr>
        <w:footnoteReference w:id="1"/>
      </w:r>
      <w:r w:rsidRPr="00044196">
        <w:rPr>
          <w:rFonts w:ascii="Arial" w:hAnsi="Arial" w:cs="Arial"/>
          <w:b/>
          <w:sz w:val="24"/>
          <w:szCs w:val="24"/>
        </w:rPr>
        <w:t>, А.В. Мартынюк</w:t>
      </w:r>
      <w:r w:rsidRPr="00044196">
        <w:rPr>
          <w:rStyle w:val="ab"/>
          <w:rFonts w:ascii="Arial" w:hAnsi="Arial" w:cs="Arial"/>
          <w:b/>
          <w:sz w:val="24"/>
          <w:szCs w:val="24"/>
        </w:rPr>
        <w:footnoteReference w:id="2"/>
      </w:r>
    </w:p>
    <w:p w:rsidR="008267D6" w:rsidRPr="00044196" w:rsidRDefault="008267D6" w:rsidP="002777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 xml:space="preserve">Иркутский государственный технический университет, </w:t>
      </w:r>
    </w:p>
    <w:p w:rsidR="008267D6" w:rsidRPr="00044196" w:rsidRDefault="008267D6" w:rsidP="002777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>664074, г. Иркутск, ул. Лермонтова, 83.</w:t>
      </w:r>
    </w:p>
    <w:p w:rsidR="008267D6" w:rsidRPr="00044196" w:rsidRDefault="00BB21D0" w:rsidP="002777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>Рассмотрена сущность факторинга и операций, связанных с ним</w:t>
      </w:r>
      <w:r w:rsidR="00A43FAA" w:rsidRPr="00044196">
        <w:rPr>
          <w:rFonts w:ascii="Arial" w:hAnsi="Arial" w:cs="Arial"/>
          <w:sz w:val="20"/>
          <w:szCs w:val="20"/>
        </w:rPr>
        <w:t>;</w:t>
      </w:r>
      <w:r w:rsidR="008267D6" w:rsidRPr="00044196">
        <w:rPr>
          <w:rFonts w:ascii="Arial" w:hAnsi="Arial" w:cs="Arial"/>
          <w:sz w:val="20"/>
          <w:szCs w:val="20"/>
        </w:rPr>
        <w:t xml:space="preserve"> </w:t>
      </w:r>
      <w:r w:rsidRPr="00044196">
        <w:rPr>
          <w:rFonts w:ascii="Arial" w:hAnsi="Arial" w:cs="Arial"/>
          <w:sz w:val="20"/>
          <w:szCs w:val="20"/>
        </w:rPr>
        <w:t xml:space="preserve">дана классификация </w:t>
      </w:r>
      <w:r w:rsidR="00C85829" w:rsidRPr="00044196">
        <w:rPr>
          <w:rFonts w:ascii="Arial" w:hAnsi="Arial" w:cs="Arial"/>
          <w:sz w:val="20"/>
          <w:szCs w:val="20"/>
        </w:rPr>
        <w:t>основны</w:t>
      </w:r>
      <w:r w:rsidRPr="00044196">
        <w:rPr>
          <w:rFonts w:ascii="Arial" w:hAnsi="Arial" w:cs="Arial"/>
          <w:sz w:val="20"/>
          <w:szCs w:val="20"/>
        </w:rPr>
        <w:t>х в</w:t>
      </w:r>
      <w:r w:rsidRPr="00044196">
        <w:rPr>
          <w:rFonts w:ascii="Arial" w:hAnsi="Arial" w:cs="Arial"/>
          <w:sz w:val="20"/>
          <w:szCs w:val="20"/>
        </w:rPr>
        <w:t>и</w:t>
      </w:r>
      <w:r w:rsidRPr="00044196">
        <w:rPr>
          <w:rFonts w:ascii="Arial" w:hAnsi="Arial" w:cs="Arial"/>
          <w:sz w:val="20"/>
          <w:szCs w:val="20"/>
        </w:rPr>
        <w:t>дов факторинга</w:t>
      </w:r>
      <w:r w:rsidR="00A43FAA" w:rsidRPr="00044196">
        <w:rPr>
          <w:rFonts w:ascii="Arial" w:hAnsi="Arial" w:cs="Arial"/>
          <w:sz w:val="20"/>
          <w:szCs w:val="20"/>
        </w:rPr>
        <w:t>;</w:t>
      </w:r>
      <w:r w:rsidR="008267D6" w:rsidRPr="00044196">
        <w:rPr>
          <w:rFonts w:ascii="Arial" w:hAnsi="Arial" w:cs="Arial"/>
          <w:sz w:val="20"/>
          <w:szCs w:val="20"/>
        </w:rPr>
        <w:t xml:space="preserve"> </w:t>
      </w:r>
      <w:r w:rsidRPr="00044196">
        <w:rPr>
          <w:rFonts w:ascii="Arial" w:hAnsi="Arial" w:cs="Arial"/>
          <w:sz w:val="20"/>
          <w:szCs w:val="20"/>
        </w:rPr>
        <w:t>описаны преимущества</w:t>
      </w:r>
      <w:r w:rsidR="008267D6" w:rsidRPr="00044196">
        <w:rPr>
          <w:rFonts w:ascii="Arial" w:hAnsi="Arial" w:cs="Arial"/>
          <w:sz w:val="20"/>
          <w:szCs w:val="20"/>
        </w:rPr>
        <w:t xml:space="preserve"> </w:t>
      </w:r>
      <w:r w:rsidRPr="00044196">
        <w:rPr>
          <w:rFonts w:ascii="Arial" w:hAnsi="Arial" w:cs="Arial"/>
          <w:sz w:val="20"/>
          <w:szCs w:val="20"/>
        </w:rPr>
        <w:t>факторинга перед кредитованием</w:t>
      </w:r>
      <w:r w:rsidR="00A43FAA" w:rsidRPr="00044196">
        <w:rPr>
          <w:rFonts w:ascii="Arial" w:hAnsi="Arial" w:cs="Arial"/>
          <w:sz w:val="20"/>
          <w:szCs w:val="20"/>
        </w:rPr>
        <w:t>;</w:t>
      </w:r>
      <w:r w:rsidR="00C85829" w:rsidRPr="00044196">
        <w:rPr>
          <w:rFonts w:ascii="Arial" w:hAnsi="Arial" w:cs="Arial"/>
          <w:sz w:val="20"/>
          <w:szCs w:val="20"/>
        </w:rPr>
        <w:t xml:space="preserve"> рассмотрены основные риски, которые позволя</w:t>
      </w:r>
      <w:r w:rsidR="00A43FAA" w:rsidRPr="00044196">
        <w:rPr>
          <w:rFonts w:ascii="Arial" w:hAnsi="Arial" w:cs="Arial"/>
          <w:sz w:val="20"/>
          <w:szCs w:val="20"/>
        </w:rPr>
        <w:t>ю</w:t>
      </w:r>
      <w:r w:rsidR="00C85829" w:rsidRPr="00044196">
        <w:rPr>
          <w:rFonts w:ascii="Arial" w:hAnsi="Arial" w:cs="Arial"/>
          <w:sz w:val="20"/>
          <w:szCs w:val="20"/>
        </w:rPr>
        <w:t>т купировать факторинг</w:t>
      </w:r>
      <w:r w:rsidR="003A29B0">
        <w:rPr>
          <w:rFonts w:ascii="Arial" w:hAnsi="Arial" w:cs="Arial"/>
          <w:sz w:val="20"/>
          <w:szCs w:val="20"/>
        </w:rPr>
        <w:t>.</w:t>
      </w:r>
      <w:r w:rsidR="00C85829" w:rsidRPr="00044196">
        <w:rPr>
          <w:rFonts w:ascii="Arial" w:hAnsi="Arial" w:cs="Arial"/>
          <w:sz w:val="20"/>
          <w:szCs w:val="20"/>
        </w:rPr>
        <w:t xml:space="preserve"> </w:t>
      </w:r>
    </w:p>
    <w:p w:rsidR="008267D6" w:rsidRPr="00044196" w:rsidRDefault="003F757D" w:rsidP="002777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 xml:space="preserve">Ил. 1, Библиогр. </w:t>
      </w:r>
      <w:r w:rsidR="00A43FAA" w:rsidRPr="00044196">
        <w:rPr>
          <w:rFonts w:ascii="Arial" w:hAnsi="Arial" w:cs="Arial"/>
          <w:sz w:val="20"/>
          <w:szCs w:val="20"/>
        </w:rPr>
        <w:t>3</w:t>
      </w:r>
      <w:r w:rsidRPr="00044196">
        <w:rPr>
          <w:rFonts w:ascii="Arial" w:hAnsi="Arial" w:cs="Arial"/>
          <w:sz w:val="20"/>
          <w:szCs w:val="20"/>
        </w:rPr>
        <w:t xml:space="preserve"> назв.</w:t>
      </w:r>
    </w:p>
    <w:p w:rsidR="008267D6" w:rsidRDefault="008267D6" w:rsidP="0027772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44196">
        <w:rPr>
          <w:rFonts w:ascii="Arial" w:hAnsi="Arial" w:cs="Arial"/>
          <w:i/>
          <w:sz w:val="20"/>
          <w:szCs w:val="20"/>
        </w:rPr>
        <w:t xml:space="preserve">Ключевые слова: </w:t>
      </w:r>
      <w:r w:rsidR="00856761" w:rsidRPr="00044196">
        <w:rPr>
          <w:rFonts w:ascii="Arial" w:hAnsi="Arial" w:cs="Arial"/>
          <w:i/>
          <w:sz w:val="20"/>
          <w:szCs w:val="20"/>
        </w:rPr>
        <w:t>факторинг</w:t>
      </w:r>
      <w:r w:rsidRPr="00044196">
        <w:rPr>
          <w:rFonts w:ascii="Arial" w:hAnsi="Arial" w:cs="Arial"/>
          <w:i/>
          <w:sz w:val="20"/>
          <w:szCs w:val="20"/>
        </w:rPr>
        <w:t xml:space="preserve">; </w:t>
      </w:r>
      <w:r w:rsidR="00856761" w:rsidRPr="00044196">
        <w:rPr>
          <w:rFonts w:ascii="Arial" w:hAnsi="Arial" w:cs="Arial"/>
          <w:i/>
          <w:sz w:val="20"/>
          <w:szCs w:val="20"/>
        </w:rPr>
        <w:t>поставщик</w:t>
      </w:r>
      <w:r w:rsidRPr="00044196">
        <w:rPr>
          <w:rFonts w:ascii="Arial" w:hAnsi="Arial" w:cs="Arial"/>
          <w:i/>
          <w:sz w:val="20"/>
          <w:szCs w:val="20"/>
        </w:rPr>
        <w:t xml:space="preserve">; </w:t>
      </w:r>
      <w:r w:rsidR="00856761" w:rsidRPr="00044196">
        <w:rPr>
          <w:rFonts w:ascii="Arial" w:hAnsi="Arial" w:cs="Arial"/>
          <w:i/>
          <w:sz w:val="20"/>
          <w:szCs w:val="20"/>
        </w:rPr>
        <w:t>дебитор</w:t>
      </w:r>
      <w:r w:rsidRPr="00044196">
        <w:rPr>
          <w:rFonts w:ascii="Arial" w:hAnsi="Arial" w:cs="Arial"/>
          <w:i/>
          <w:sz w:val="20"/>
          <w:szCs w:val="20"/>
        </w:rPr>
        <w:t xml:space="preserve">; </w:t>
      </w:r>
      <w:r w:rsidR="00856761" w:rsidRPr="00044196">
        <w:rPr>
          <w:rFonts w:ascii="Arial" w:hAnsi="Arial" w:cs="Arial"/>
          <w:i/>
          <w:sz w:val="20"/>
          <w:szCs w:val="20"/>
        </w:rPr>
        <w:t>фактор</w:t>
      </w:r>
      <w:r w:rsidRPr="00044196">
        <w:rPr>
          <w:rFonts w:ascii="Arial" w:hAnsi="Arial" w:cs="Arial"/>
          <w:i/>
          <w:sz w:val="20"/>
          <w:szCs w:val="20"/>
        </w:rPr>
        <w:t xml:space="preserve">; </w:t>
      </w:r>
      <w:r w:rsidR="00856761" w:rsidRPr="00044196">
        <w:rPr>
          <w:rFonts w:ascii="Arial" w:hAnsi="Arial" w:cs="Arial"/>
          <w:i/>
          <w:sz w:val="20"/>
          <w:szCs w:val="20"/>
        </w:rPr>
        <w:t>финансирование</w:t>
      </w:r>
      <w:r w:rsidRPr="00044196">
        <w:rPr>
          <w:rFonts w:ascii="Arial" w:hAnsi="Arial" w:cs="Arial"/>
          <w:i/>
          <w:sz w:val="20"/>
          <w:szCs w:val="20"/>
        </w:rPr>
        <w:t>.</w:t>
      </w:r>
    </w:p>
    <w:p w:rsidR="00044196" w:rsidRPr="00044196" w:rsidRDefault="00044196" w:rsidP="0027772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267D6" w:rsidRPr="00044196" w:rsidRDefault="008267D6" w:rsidP="002777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44196" w:rsidRPr="00044196" w:rsidRDefault="00044196" w:rsidP="0004419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44196">
        <w:rPr>
          <w:rFonts w:ascii="Arial" w:hAnsi="Arial" w:cs="Arial"/>
          <w:b/>
          <w:sz w:val="20"/>
          <w:szCs w:val="20"/>
          <w:lang w:val="en-US"/>
        </w:rPr>
        <w:t>FACTORING AS MECHANISM FOR INCREASING COMMODITY TURNOVER OF COMPANY</w:t>
      </w:r>
    </w:p>
    <w:p w:rsidR="00044196" w:rsidRPr="00044196" w:rsidRDefault="00044196" w:rsidP="0004419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44196">
        <w:rPr>
          <w:rFonts w:ascii="Arial" w:hAnsi="Arial" w:cs="Arial"/>
          <w:b/>
          <w:sz w:val="20"/>
          <w:szCs w:val="20"/>
          <w:lang w:val="en-US"/>
        </w:rPr>
        <w:t>J.Zaichenko, A. Martynyuk</w:t>
      </w:r>
    </w:p>
    <w:p w:rsidR="00044196" w:rsidRPr="00044196" w:rsidRDefault="00044196" w:rsidP="000441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4196">
        <w:rPr>
          <w:rFonts w:ascii="Arial" w:hAnsi="Arial" w:cs="Arial"/>
          <w:sz w:val="20"/>
          <w:szCs w:val="20"/>
          <w:lang w:val="en-US"/>
        </w:rPr>
        <w:t>National Research Irkutsk State Technical University,</w:t>
      </w:r>
    </w:p>
    <w:p w:rsidR="00044196" w:rsidRPr="00044196" w:rsidRDefault="00044196" w:rsidP="000441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4196">
        <w:rPr>
          <w:rFonts w:ascii="Arial" w:hAnsi="Arial" w:cs="Arial"/>
          <w:sz w:val="20"/>
          <w:szCs w:val="20"/>
          <w:lang w:val="en-US"/>
        </w:rPr>
        <w:t>83 Lermontov St., Irkutsk, 664074</w:t>
      </w:r>
    </w:p>
    <w:p w:rsidR="00044196" w:rsidRPr="00044196" w:rsidRDefault="00044196" w:rsidP="000441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4196">
        <w:rPr>
          <w:rFonts w:ascii="Arial" w:hAnsi="Arial" w:cs="Arial"/>
          <w:sz w:val="20"/>
          <w:szCs w:val="20"/>
          <w:lang w:val="en-US"/>
        </w:rPr>
        <w:t>The paper considers the essence of factoring and operations associated with it; classifies the main types of factoring; describes factoring advantages over lending; identifies the key risks that allow stopping factoring.</w:t>
      </w:r>
    </w:p>
    <w:p w:rsidR="00044196" w:rsidRPr="00044196" w:rsidRDefault="00044196" w:rsidP="0004419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44196">
        <w:rPr>
          <w:rFonts w:ascii="Arial" w:hAnsi="Arial" w:cs="Arial"/>
          <w:sz w:val="20"/>
          <w:szCs w:val="20"/>
          <w:lang w:val="en-US"/>
        </w:rPr>
        <w:t>Illustrations: 1.References: 3.</w:t>
      </w:r>
    </w:p>
    <w:p w:rsidR="00044196" w:rsidRPr="003A29B0" w:rsidRDefault="00044196" w:rsidP="00044196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044196">
        <w:rPr>
          <w:rFonts w:ascii="Arial" w:hAnsi="Arial" w:cs="Arial"/>
          <w:i/>
          <w:sz w:val="20"/>
          <w:szCs w:val="20"/>
          <w:lang w:val="en-US"/>
        </w:rPr>
        <w:t>Keywords: factoring; supplier; debtor; factor; funding.</w:t>
      </w:r>
    </w:p>
    <w:p w:rsidR="00044196" w:rsidRPr="003A29B0" w:rsidRDefault="00044196" w:rsidP="00044196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8267D6" w:rsidRPr="00044196" w:rsidRDefault="008267D6" w:rsidP="0027772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1272C" w:rsidRPr="00044196" w:rsidRDefault="00B83882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Факторинг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4E1D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комплекс финансовых услуг, оказываемых </w:t>
      </w:r>
      <w:r w:rsidR="00B94E1D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актором</w:t>
      </w:r>
      <w:r w:rsidR="00B94E1D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(финансовым агентом)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клиенту в обмен на уступку требований по дебиторской задолженности</w:t>
      </w:r>
      <w:r w:rsidR="00C81D3A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(рис</w:t>
      </w:r>
      <w:r w:rsidR="00A43FAA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унок</w:t>
      </w:r>
      <w:r w:rsidR="00C81D3A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0837" w:rsidRPr="00044196" w:rsidRDefault="00CB37B6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044196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CCE9557" wp14:editId="6C43E69F">
            <wp:extent cx="5411026" cy="32748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25" cy="328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0837" w:rsidRPr="00044196" w:rsidRDefault="00A43FAA" w:rsidP="00A43FAA">
      <w:pPr>
        <w:spacing w:after="0" w:line="240" w:lineRule="auto"/>
        <w:jc w:val="center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С</w:t>
      </w:r>
      <w:r w:rsidR="00525ABB" w:rsidRPr="00044196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хема работы факторинга</w:t>
      </w: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0837" w:rsidRPr="00044196" w:rsidRDefault="00A10837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Факторинговое обслуживание обычно включает в себя следующие услуги: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При совершении операции факторинга </w:t>
      </w:r>
      <w:r w:rsidR="00B94E1D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актор выплачивает определенную сумму от ном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нала поставки (порядка 50–90</w:t>
      </w:r>
      <w:r w:rsidR="00A43FAA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%) в виде аванса сразу же после фактической отгрузки товара, а ост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ток средств (от 10 до 50</w:t>
      </w:r>
      <w:r w:rsidR="00A43FAA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% за вычетом комиссии за факторинговое обслуживание) банк переведет поставщику после того, как дебитор оплатит поставку банку.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2. Информационное обеспечение деятельности поставщика, ведение учета состояния его д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биторской 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задолженности, т.е. информирование в режиме реального времени компании-поставщика о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состоянии продаж и дебиторской задолженности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3. Страхование рисков поставщика. Заключая договор факторинга, компании получают во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можность исключить риски, связанные с поставкой товаров на условиях отсрочки платежа: 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кредитный – риск связан </w:t>
      </w:r>
      <w:r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неоплатой, а также с неполной или несвоевременной оплатой п</w:t>
      </w:r>
      <w:r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о</w:t>
      </w:r>
      <w:r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купателем полученных им товаров вследствие его недобросовестности, неплатежеспособности или нарушения продавцом условий контракта</w:t>
      </w:r>
      <w:r w:rsidR="003A3617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– ликвидный – риск несвоевременной оплаты продукции покупателями, риск дефицита об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ротных средств, возникновения кассовых разрывов. Поскольку производитель получает средства за свою продукцию сразу после отгрузки, исчезает вероятность дефицита средств для оплаты собстве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ных задолженностей вследствие задержки платежей от покупателей; 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процентный – 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это риск резкого изменения рыночной стоимости ресурсов, влияющий на р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е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зультат экономической деятельности. Он является неотъемлемой частью факторинговой деятельн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о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сти, поскольку фактор не только получает проценты за предоставление факторингового финансир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о</w:t>
      </w:r>
      <w:r w:rsidR="003A3617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вания, но и сам платит проценты за средства, привлеченные для пополнения оборотного фонда</w:t>
      </w:r>
      <w:r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; </w:t>
      </w:r>
    </w:p>
    <w:p w:rsidR="001E6D59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– валютный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риск, 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возникающий при международном факторинге и приводящий к курсовым потерям при переводе средств из валюты покупателя в валюту продавца. Изменение курса иностра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н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ной валюты в сторону повышения несет в себе негативные последствия для банков, поскольку, с о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д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ной стороны, ограничивает их финансовый потенциал, а, с другой, вызванный этим рост цен на тов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а</w:t>
      </w:r>
      <w:r w:rsidR="006D6272" w:rsidRPr="0004419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ры клиента требует от фактора большего количества средств для авансирования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6D6272" w:rsidRPr="00044196" w:rsidRDefault="001E6D59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Администрирование дебиторской задолженности </w:t>
      </w:r>
      <w:r w:rsidR="00B94E1D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учет задолженности, регулярное пред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ставление соответствующих отчетов клиенту, контроль </w:t>
      </w:r>
      <w:r w:rsidR="00B94E1D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над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своевременностью оплаты и работа с д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6D627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биторами.</w:t>
      </w:r>
    </w:p>
    <w:p w:rsidR="00734DE3" w:rsidRPr="00044196" w:rsidRDefault="00455ECC" w:rsidP="0027772C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Факторинг позволяет в течение одного года увеличить товарооборот в среднем в 2 раза быс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рее, чем при кредитовании. Использование факторинга позволяет получать финансирование для дальнейшего производства  или закупки товара, не дожидаясь поступления оплаты от дебиторов за отгруженную продукцию.</w:t>
      </w:r>
    </w:p>
    <w:p w:rsidR="00B83882" w:rsidRPr="00044196" w:rsidRDefault="008F452F" w:rsidP="00997161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Рассмотрим классификацию</w:t>
      </w:r>
      <w:r w:rsidR="00B83882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факторинговых операций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DD2F0D" w:rsidRPr="00044196" w:rsidRDefault="00B94E1D" w:rsidP="009971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4196">
        <w:rPr>
          <w:rFonts w:ascii="Arial" w:hAnsi="Arial" w:cs="Arial"/>
          <w:i/>
          <w:sz w:val="20"/>
          <w:szCs w:val="20"/>
        </w:rPr>
        <w:t>Регрессный факторинг</w:t>
      </w:r>
      <w:r w:rsidRPr="00044196">
        <w:rPr>
          <w:rFonts w:ascii="Arial" w:hAnsi="Arial" w:cs="Arial"/>
          <w:sz w:val="20"/>
          <w:szCs w:val="20"/>
        </w:rPr>
        <w:t xml:space="preserve">, в рамках которого поставщик, отгрузив товар и предоставив в банк отгрузочные документы, незамедлительно получает финансирование в размере до 95% от суммы поставки. Оставшуюся сумму </w:t>
      </w:r>
      <w:r w:rsidR="00997161" w:rsidRPr="00044196">
        <w:rPr>
          <w:rFonts w:ascii="Arial" w:hAnsi="Arial" w:cs="Arial"/>
          <w:sz w:val="20"/>
          <w:szCs w:val="20"/>
        </w:rPr>
        <w:t>(</w:t>
      </w:r>
      <w:r w:rsidRPr="00044196">
        <w:rPr>
          <w:rFonts w:ascii="Arial" w:hAnsi="Arial" w:cs="Arial"/>
          <w:sz w:val="20"/>
          <w:szCs w:val="20"/>
        </w:rPr>
        <w:t>за вычетом комиссионного вознаграждения</w:t>
      </w:r>
      <w:r w:rsidR="00997161" w:rsidRPr="00044196">
        <w:rPr>
          <w:rFonts w:ascii="Arial" w:hAnsi="Arial" w:cs="Arial"/>
          <w:sz w:val="20"/>
          <w:szCs w:val="20"/>
        </w:rPr>
        <w:t>)</w:t>
      </w:r>
      <w:r w:rsidRPr="00044196">
        <w:rPr>
          <w:rFonts w:ascii="Arial" w:hAnsi="Arial" w:cs="Arial"/>
          <w:sz w:val="20"/>
          <w:szCs w:val="20"/>
        </w:rPr>
        <w:t xml:space="preserve"> банк перечисляет на счет поставщика после того, как дебитор расплатится за товар. Популярность факторинга с правом р</w:t>
      </w:r>
      <w:r w:rsidRPr="00044196">
        <w:rPr>
          <w:rFonts w:ascii="Arial" w:hAnsi="Arial" w:cs="Arial"/>
          <w:sz w:val="20"/>
          <w:szCs w:val="20"/>
        </w:rPr>
        <w:t>е</w:t>
      </w:r>
      <w:r w:rsidRPr="00044196">
        <w:rPr>
          <w:rFonts w:ascii="Arial" w:hAnsi="Arial" w:cs="Arial"/>
          <w:sz w:val="20"/>
          <w:szCs w:val="20"/>
        </w:rPr>
        <w:t>гресса у российских компаний объясняется относительно низкой стоимостью в сравнении с другими видами факторинга, поскольку риск полной или частичной неоплаты поставок дебитором поставщик принимает на себя. </w:t>
      </w:r>
      <w:r w:rsidR="00997161" w:rsidRPr="000441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4196">
        <w:rPr>
          <w:rFonts w:ascii="Arial" w:hAnsi="Arial" w:cs="Arial"/>
          <w:color w:val="000000"/>
          <w:sz w:val="20"/>
          <w:szCs w:val="20"/>
        </w:rPr>
        <w:t>В</w:t>
      </w:r>
      <w:r w:rsidR="00DD2F0D" w:rsidRPr="00044196">
        <w:rPr>
          <w:rFonts w:ascii="Arial" w:hAnsi="Arial" w:cs="Arial"/>
          <w:color w:val="000000"/>
          <w:sz w:val="20"/>
          <w:szCs w:val="20"/>
        </w:rPr>
        <w:t xml:space="preserve"> случае</w:t>
      </w:r>
      <w:r w:rsidR="00997161" w:rsidRPr="00044196">
        <w:rPr>
          <w:rFonts w:ascii="Arial" w:hAnsi="Arial" w:cs="Arial"/>
          <w:color w:val="000000"/>
          <w:sz w:val="20"/>
          <w:szCs w:val="20"/>
        </w:rPr>
        <w:t>,</w:t>
      </w:r>
      <w:r w:rsidR="00DD2F0D" w:rsidRPr="00044196">
        <w:rPr>
          <w:rFonts w:ascii="Arial" w:hAnsi="Arial" w:cs="Arial"/>
          <w:color w:val="000000"/>
          <w:sz w:val="20"/>
          <w:szCs w:val="20"/>
        </w:rPr>
        <w:t xml:space="preserve"> если дебитор откажется от выплаты задолженности</w:t>
      </w:r>
      <w:r w:rsidRPr="00044196">
        <w:rPr>
          <w:rFonts w:ascii="Arial" w:hAnsi="Arial" w:cs="Arial"/>
          <w:color w:val="000000"/>
          <w:sz w:val="20"/>
          <w:szCs w:val="20"/>
        </w:rPr>
        <w:t>,</w:t>
      </w:r>
      <w:r w:rsidR="00DD2F0D" w:rsidRPr="00044196">
        <w:rPr>
          <w:rFonts w:ascii="Arial" w:hAnsi="Arial" w:cs="Arial"/>
          <w:color w:val="000000"/>
          <w:sz w:val="20"/>
          <w:szCs w:val="20"/>
        </w:rPr>
        <w:t xml:space="preserve"> фактор вправе потребовать от клиента возврата суммы выплаченного финансирования с учетом факторинговой к</w:t>
      </w:r>
      <w:r w:rsidR="00DD2F0D" w:rsidRPr="00044196">
        <w:rPr>
          <w:rFonts w:ascii="Arial" w:hAnsi="Arial" w:cs="Arial"/>
          <w:color w:val="000000"/>
          <w:sz w:val="20"/>
          <w:szCs w:val="20"/>
        </w:rPr>
        <w:t>о</w:t>
      </w:r>
      <w:r w:rsidR="00DD2F0D" w:rsidRPr="00044196">
        <w:rPr>
          <w:rFonts w:ascii="Arial" w:hAnsi="Arial" w:cs="Arial"/>
          <w:color w:val="000000"/>
          <w:sz w:val="20"/>
          <w:szCs w:val="20"/>
        </w:rPr>
        <w:t>миссии.</w:t>
      </w:r>
    </w:p>
    <w:p w:rsidR="00DD2F0D" w:rsidRPr="00044196" w:rsidRDefault="00030BC4" w:rsidP="009971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Регрессный факторинг может быть 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двух видов:</w:t>
      </w:r>
    </w:p>
    <w:p w:rsidR="00DD2F0D" w:rsidRPr="00044196" w:rsidRDefault="003A29B0" w:rsidP="002777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ткрытым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факторинговые операции, при которых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дебитор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уведомлен о том, что произ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шла переуступка прав требования по договору с поставщиком в пользу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актора, на основании чего ос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ществляет платежи на счет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актора.</w:t>
      </w:r>
    </w:p>
    <w:p w:rsidR="00030BC4" w:rsidRPr="00044196" w:rsidRDefault="00DD2F0D" w:rsidP="002777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Скрытым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факторинговые операции, при которых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окупатель, приобретая товар или услугу на условиях отсрочки платежа, не уведомляется о заключении поставщиком с банком или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актором договора о передаче прав кредитора.</w:t>
      </w:r>
    </w:p>
    <w:p w:rsidR="00030BC4" w:rsidRPr="00044196" w:rsidRDefault="00030BC4" w:rsidP="002777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мере н</w:t>
      </w:r>
      <w:r w:rsidR="00DD2F0D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акопления кредитной истории по дебиторам к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лиента 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актор может приступить к о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служиванию части уступаемой задолженности (или всей задолженности) </w:t>
      </w:r>
      <w:r w:rsidRPr="0004419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без регресса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последнем случае </w:t>
      </w:r>
      <w:r w:rsidR="00EB04F5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лиент (то есть поставщик товаров и услуг) не обязан платить за </w:t>
      </w:r>
      <w:r w:rsidR="00EB04F5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ебитора при любых задер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ках. Комиссия при безрегрессном факторинге неск</w:t>
      </w:r>
      <w:r w:rsidR="00EB04F5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олько выше, чем при регрессном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30BC4" w:rsidRPr="00044196" w:rsidRDefault="00030BC4" w:rsidP="002777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форма современного факторинга, обслуживающего большую часть производителей, оптовых торговцев и сервисных компаний. Она охватывает ведение торговых реестров, кредитный менеджмент, </w:t>
      </w:r>
      <w:r w:rsidR="00EB04F5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стопроцентн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ую защиту против безнадежных долгов, возникших вследствие одобренных сделок, и взыскание долга с клиентов. Сочетание этих услуг составляет </w:t>
      </w:r>
      <w:r w:rsidR="00EB04F5" w:rsidRPr="000441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срочный</w:t>
      </w:r>
      <w:r w:rsidRPr="000441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факторинг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кач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стве возможного дополнения фактор обычно предлагает обеспечение финансирования до 80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 з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долженности по реестру продаж. Это добавление превращает факторинг в</w:t>
      </w:r>
      <w:r w:rsidR="00997161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4419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финансовый</w:t>
      </w:r>
      <w:r w:rsidRPr="000441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</w:t>
      </w:r>
      <w:r w:rsidR="00997161" w:rsidRPr="000441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дополняя полный набор безрегрессного факторинга.</w:t>
      </w:r>
    </w:p>
    <w:p w:rsidR="00B83882" w:rsidRPr="00044196" w:rsidRDefault="00030BC4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Безрегрессный факторинг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</w:t>
      </w:r>
      <w:r w:rsidR="00EB04F5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 же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быть открытым</w:t>
      </w:r>
      <w:r w:rsidR="00EB04F5"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скрытым.</w:t>
      </w:r>
    </w:p>
    <w:p w:rsidR="00EB04F5" w:rsidRPr="00044196" w:rsidRDefault="00EB04F5" w:rsidP="0027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4196">
        <w:rPr>
          <w:rFonts w:ascii="Arial" w:hAnsi="Arial" w:cs="Arial"/>
          <w:color w:val="000000"/>
          <w:sz w:val="20"/>
          <w:szCs w:val="20"/>
        </w:rPr>
        <w:t xml:space="preserve">Взаимный факторинг </w:t>
      </w:r>
      <w:r w:rsidR="00997161" w:rsidRPr="00044196">
        <w:rPr>
          <w:rFonts w:ascii="Arial" w:hAnsi="Arial" w:cs="Arial"/>
          <w:color w:val="000000"/>
          <w:sz w:val="20"/>
          <w:szCs w:val="20"/>
        </w:rPr>
        <w:t>–</w:t>
      </w:r>
      <w:r w:rsidRPr="00044196">
        <w:rPr>
          <w:rFonts w:ascii="Arial" w:hAnsi="Arial" w:cs="Arial"/>
          <w:color w:val="000000"/>
          <w:sz w:val="20"/>
          <w:szCs w:val="20"/>
        </w:rPr>
        <w:t xml:space="preserve"> это факторинговая операция, при которой факторинговая компания будет действовать в своей стране от имени иностранной факторинговой компании по сделкам, пре</w:t>
      </w:r>
      <w:r w:rsidRPr="00044196">
        <w:rPr>
          <w:rFonts w:ascii="Arial" w:hAnsi="Arial" w:cs="Arial"/>
          <w:color w:val="000000"/>
          <w:sz w:val="20"/>
          <w:szCs w:val="20"/>
        </w:rPr>
        <w:t>д</w:t>
      </w:r>
      <w:r w:rsidRPr="00044196">
        <w:rPr>
          <w:rFonts w:ascii="Arial" w:hAnsi="Arial" w:cs="Arial"/>
          <w:color w:val="000000"/>
          <w:sz w:val="20"/>
          <w:szCs w:val="20"/>
        </w:rPr>
        <w:t>полагающим участие этих двух стран.</w:t>
      </w:r>
    </w:p>
    <w:p w:rsidR="00EB04F5" w:rsidRPr="00044196" w:rsidRDefault="00EB04F5" w:rsidP="0027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4196">
        <w:rPr>
          <w:rFonts w:ascii="Arial" w:hAnsi="Arial" w:cs="Arial"/>
          <w:color w:val="000000"/>
          <w:sz w:val="20"/>
          <w:szCs w:val="20"/>
        </w:rPr>
        <w:t>Прямой импортный факторинг</w:t>
      </w:r>
      <w:r w:rsidR="00997161" w:rsidRPr="00044196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044196">
        <w:rPr>
          <w:rFonts w:ascii="Arial" w:hAnsi="Arial" w:cs="Arial"/>
          <w:color w:val="000000"/>
          <w:sz w:val="20"/>
          <w:szCs w:val="20"/>
        </w:rPr>
        <w:t xml:space="preserve"> это соглашение с факторинговой компанией в стране, которая непосредственно импортирует продукт.</w:t>
      </w:r>
    </w:p>
    <w:p w:rsidR="00EB04F5" w:rsidRPr="00044196" w:rsidRDefault="00EB04F5" w:rsidP="00277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44196">
        <w:rPr>
          <w:rFonts w:ascii="Arial" w:hAnsi="Arial" w:cs="Arial"/>
          <w:color w:val="000000"/>
          <w:sz w:val="20"/>
          <w:szCs w:val="20"/>
        </w:rPr>
        <w:t>Прямой экспортный факторинг</w:t>
      </w:r>
      <w:r w:rsidR="00997161" w:rsidRPr="00044196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044196">
        <w:rPr>
          <w:rFonts w:ascii="Arial" w:hAnsi="Arial" w:cs="Arial"/>
          <w:color w:val="000000"/>
          <w:sz w:val="20"/>
          <w:szCs w:val="20"/>
        </w:rPr>
        <w:t xml:space="preserve"> это соглашение, </w:t>
      </w:r>
      <w:r w:rsidR="001542AD" w:rsidRPr="00044196">
        <w:rPr>
          <w:rFonts w:ascii="Arial" w:hAnsi="Arial" w:cs="Arial"/>
          <w:color w:val="000000"/>
          <w:sz w:val="20"/>
          <w:szCs w:val="20"/>
        </w:rPr>
        <w:t xml:space="preserve">по </w:t>
      </w:r>
      <w:r w:rsidRPr="00044196">
        <w:rPr>
          <w:rFonts w:ascii="Arial" w:hAnsi="Arial" w:cs="Arial"/>
          <w:color w:val="000000"/>
          <w:sz w:val="20"/>
          <w:szCs w:val="20"/>
        </w:rPr>
        <w:t>которому факторинговая компания берет на себя долю ответственности.</w:t>
      </w:r>
    </w:p>
    <w:p w:rsidR="00B021F1" w:rsidRPr="00044196" w:rsidRDefault="00B021F1" w:rsidP="002777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Реальный факторинг – факторинг, при котором денежное требование выдвигается в момент заключения договора.</w:t>
      </w:r>
    </w:p>
    <w:p w:rsidR="00B021F1" w:rsidRPr="00044196" w:rsidRDefault="00B021F1" w:rsidP="002777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Консенсуальный факторинг – факторинг, при котором денежное требование ожидается в б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0441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дущем.</w:t>
      </w:r>
    </w:p>
    <w:p w:rsidR="008F452F" w:rsidRPr="00044196" w:rsidRDefault="008F452F" w:rsidP="0027772C">
      <w:pPr>
        <w:spacing w:after="0" w:line="240" w:lineRule="auto"/>
        <w:ind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В заключении приведём следующие преимущества факторинговых операций перед кредит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ванием:</w:t>
      </w:r>
    </w:p>
    <w:p w:rsidR="008F452F" w:rsidRPr="00044196" w:rsidRDefault="008F452F" w:rsidP="002777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Отсутствие залогового обеспечения.</w:t>
      </w:r>
      <w:r w:rsidR="00997161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При осуществлении факторинговых операций, в кач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стве обеспечения выступает дебиторская задолженность компании-дебитора.</w:t>
      </w:r>
    </w:p>
    <w:p w:rsidR="008F452F" w:rsidRPr="00044196" w:rsidRDefault="008F452F" w:rsidP="002777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Оценка финансового состояния.</w:t>
      </w:r>
      <w:r w:rsidR="00997161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Жесткие требования к финансовому состоянию компании и качеству финансовой отчетности в меньшей степени влияют на положительное решение вопроса при факторинге, чем при кредитовании. Факторинговые компании в большей степени интересуются кач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ством и диверсификацией дебиторской задолженности поставщика.</w:t>
      </w:r>
    </w:p>
    <w:p w:rsidR="008F452F" w:rsidRPr="00044196" w:rsidRDefault="008F452F" w:rsidP="002777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Гибкая схема работы.</w:t>
      </w:r>
      <w:r w:rsidR="00997161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Финансирование по факторингу осуществляется по факту отгрузки товара одобренным дебиторам и фактически пропорционально объему продаж. Погашение факт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рингового финансирования осуществляется в момент оплаты отгруженного товара дебиторами.</w:t>
      </w:r>
    </w:p>
    <w:p w:rsidR="001377BF" w:rsidRPr="00044196" w:rsidRDefault="008F452F" w:rsidP="002777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Высокие темпы роста продаж.</w:t>
      </w:r>
      <w:r w:rsidR="00997161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Более «гибкое» и постоянное финансирование при факт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ринге в совокупности с эффективным управлением дебиторской задолженностью позволяет более высокими темпами увеличивать товарооборот компании. По факту отгрузки товара в адрес одобре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ных дебиторов финансируется 90</w:t>
      </w:r>
      <w:r w:rsidR="00997161"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4419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% от суммы каждой поставки.</w:t>
      </w:r>
    </w:p>
    <w:p w:rsidR="008F452F" w:rsidRPr="00044196" w:rsidRDefault="008F452F" w:rsidP="002777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71F5B" w:rsidRPr="00044196" w:rsidRDefault="00871F5B" w:rsidP="00A43F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4196">
        <w:rPr>
          <w:rFonts w:ascii="Arial" w:hAnsi="Arial" w:cs="Arial"/>
          <w:b/>
          <w:sz w:val="20"/>
          <w:szCs w:val="20"/>
        </w:rPr>
        <w:t>Библиографический список</w:t>
      </w:r>
    </w:p>
    <w:p w:rsidR="00871F5B" w:rsidRPr="00044196" w:rsidRDefault="00871F5B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B4D7D" w:rsidRPr="00044196" w:rsidRDefault="008F452F" w:rsidP="0027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>1</w:t>
      </w:r>
      <w:r w:rsidR="00871F5B" w:rsidRPr="00044196">
        <w:rPr>
          <w:rFonts w:ascii="Arial" w:hAnsi="Arial" w:cs="Arial"/>
          <w:sz w:val="20"/>
          <w:szCs w:val="20"/>
        </w:rPr>
        <w:t xml:space="preserve">. </w:t>
      </w:r>
      <w:r w:rsidR="00DB4D7D" w:rsidRPr="00044196">
        <w:rPr>
          <w:rFonts w:ascii="Arial" w:hAnsi="Arial" w:cs="Arial"/>
          <w:sz w:val="20"/>
          <w:szCs w:val="20"/>
        </w:rPr>
        <w:t xml:space="preserve">Гражданский кодекс РФ от 26.01.1996 №14-ФЗ // СЗ РФ. </w:t>
      </w:r>
      <w:r w:rsidR="00A43FAA" w:rsidRPr="00044196">
        <w:rPr>
          <w:rFonts w:ascii="Arial" w:hAnsi="Arial" w:cs="Arial"/>
          <w:sz w:val="20"/>
          <w:szCs w:val="20"/>
        </w:rPr>
        <w:t>–</w:t>
      </w:r>
      <w:r w:rsidR="00DB4D7D" w:rsidRPr="00044196">
        <w:rPr>
          <w:rFonts w:ascii="Arial" w:hAnsi="Arial" w:cs="Arial"/>
          <w:sz w:val="20"/>
          <w:szCs w:val="20"/>
        </w:rPr>
        <w:t xml:space="preserve"> 1996.</w:t>
      </w:r>
      <w:r w:rsidR="00A43FAA" w:rsidRPr="00044196">
        <w:rPr>
          <w:rFonts w:ascii="Arial" w:hAnsi="Arial" w:cs="Arial"/>
          <w:sz w:val="20"/>
          <w:szCs w:val="20"/>
        </w:rPr>
        <w:t xml:space="preserve"> –</w:t>
      </w:r>
      <w:r w:rsidR="00DB4D7D" w:rsidRPr="00044196">
        <w:rPr>
          <w:rFonts w:ascii="Arial" w:hAnsi="Arial" w:cs="Arial"/>
          <w:sz w:val="20"/>
          <w:szCs w:val="20"/>
        </w:rPr>
        <w:t xml:space="preserve"> №5</w:t>
      </w:r>
      <w:r w:rsidR="00A43FAA" w:rsidRPr="00044196">
        <w:rPr>
          <w:rFonts w:ascii="Arial" w:hAnsi="Arial" w:cs="Arial"/>
          <w:sz w:val="20"/>
          <w:szCs w:val="20"/>
        </w:rPr>
        <w:t>. – Ч. 2. – С</w:t>
      </w:r>
      <w:r w:rsidR="00DB4D7D" w:rsidRPr="00044196">
        <w:rPr>
          <w:rFonts w:ascii="Arial" w:hAnsi="Arial" w:cs="Arial"/>
          <w:sz w:val="20"/>
          <w:szCs w:val="20"/>
        </w:rPr>
        <w:t>т. 410.</w:t>
      </w:r>
    </w:p>
    <w:p w:rsidR="00871F5B" w:rsidRPr="00044196" w:rsidRDefault="00DB4D7D" w:rsidP="0027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 xml:space="preserve">2. </w:t>
      </w:r>
      <w:r w:rsidR="008644E8" w:rsidRPr="00044196">
        <w:rPr>
          <w:rFonts w:ascii="Arial" w:hAnsi="Arial" w:cs="Arial"/>
          <w:sz w:val="20"/>
          <w:szCs w:val="20"/>
        </w:rPr>
        <w:t>Ивасенко А., Никонова Я. Факторинг: учеб. пособие. – М.:</w:t>
      </w:r>
      <w:r w:rsidR="00E31BD8" w:rsidRPr="00044196">
        <w:rPr>
          <w:rFonts w:ascii="Arial" w:hAnsi="Arial" w:cs="Arial"/>
          <w:sz w:val="20"/>
          <w:szCs w:val="20"/>
        </w:rPr>
        <w:t xml:space="preserve"> </w:t>
      </w:r>
      <w:r w:rsidR="008644E8" w:rsidRPr="00044196">
        <w:rPr>
          <w:rFonts w:ascii="Arial" w:hAnsi="Arial" w:cs="Arial"/>
          <w:sz w:val="20"/>
          <w:szCs w:val="20"/>
        </w:rPr>
        <w:t>КноРус, 2009. – 224 с.</w:t>
      </w:r>
    </w:p>
    <w:p w:rsidR="00871F5B" w:rsidRPr="00044196" w:rsidRDefault="00DB4D7D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4196">
        <w:rPr>
          <w:rFonts w:ascii="Arial" w:hAnsi="Arial" w:cs="Arial"/>
          <w:sz w:val="20"/>
          <w:szCs w:val="20"/>
        </w:rPr>
        <w:t>3</w:t>
      </w:r>
      <w:r w:rsidR="00871F5B" w:rsidRPr="00044196">
        <w:rPr>
          <w:rFonts w:ascii="Arial" w:hAnsi="Arial" w:cs="Arial"/>
          <w:sz w:val="20"/>
          <w:szCs w:val="20"/>
        </w:rPr>
        <w:t xml:space="preserve">. </w:t>
      </w:r>
      <w:r w:rsidR="008644E8" w:rsidRPr="00044196">
        <w:rPr>
          <w:rFonts w:ascii="Arial" w:hAnsi="Arial" w:cs="Arial"/>
          <w:sz w:val="20"/>
          <w:szCs w:val="20"/>
        </w:rPr>
        <w:t xml:space="preserve">Бабичев С.Н., Лабзенко А.А., Подлеснова А.Ю. </w:t>
      </w:r>
      <w:r w:rsidR="001377BF" w:rsidRPr="00044196">
        <w:rPr>
          <w:rFonts w:ascii="Arial" w:hAnsi="Arial" w:cs="Arial"/>
          <w:sz w:val="20"/>
          <w:szCs w:val="20"/>
        </w:rPr>
        <w:t xml:space="preserve">Факторинг. </w:t>
      </w:r>
      <w:r w:rsidR="008644E8" w:rsidRPr="00044196">
        <w:rPr>
          <w:rFonts w:ascii="Arial" w:hAnsi="Arial" w:cs="Arial"/>
          <w:sz w:val="20"/>
          <w:szCs w:val="20"/>
        </w:rPr>
        <w:t>– М.: Маркет ДС, 2010.</w:t>
      </w:r>
      <w:r w:rsidR="001377BF" w:rsidRPr="00044196">
        <w:rPr>
          <w:rFonts w:ascii="Arial" w:hAnsi="Arial" w:cs="Arial"/>
          <w:sz w:val="20"/>
          <w:szCs w:val="20"/>
        </w:rPr>
        <w:t xml:space="preserve"> – 208 с.</w:t>
      </w: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3FAA" w:rsidRPr="00044196" w:rsidRDefault="00A43FAA" w:rsidP="0027772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A43FAA" w:rsidRPr="00044196" w:rsidSect="0027772C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2F" w:rsidRDefault="00C26D2F" w:rsidP="008267D6">
      <w:pPr>
        <w:spacing w:after="0" w:line="240" w:lineRule="auto"/>
      </w:pPr>
      <w:r>
        <w:separator/>
      </w:r>
    </w:p>
  </w:endnote>
  <w:endnote w:type="continuationSeparator" w:id="0">
    <w:p w:rsidR="00C26D2F" w:rsidRDefault="00C26D2F" w:rsidP="0082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813"/>
      <w:docPartObj>
        <w:docPartGallery w:val="Page Numbers (Bottom of Page)"/>
        <w:docPartUnique/>
      </w:docPartObj>
    </w:sdtPr>
    <w:sdtEndPr/>
    <w:sdtContent>
      <w:p w:rsidR="0027772C" w:rsidRDefault="00BB381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72C" w:rsidRDefault="002777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2F" w:rsidRDefault="00C26D2F" w:rsidP="008267D6">
      <w:pPr>
        <w:spacing w:after="0" w:line="240" w:lineRule="auto"/>
      </w:pPr>
      <w:r>
        <w:separator/>
      </w:r>
    </w:p>
  </w:footnote>
  <w:footnote w:type="continuationSeparator" w:id="0">
    <w:p w:rsidR="00C26D2F" w:rsidRDefault="00C26D2F" w:rsidP="008267D6">
      <w:pPr>
        <w:spacing w:after="0" w:line="240" w:lineRule="auto"/>
      </w:pPr>
      <w:r>
        <w:continuationSeparator/>
      </w:r>
    </w:p>
  </w:footnote>
  <w:footnote w:id="1">
    <w:p w:rsidR="008267D6" w:rsidRPr="00044196" w:rsidRDefault="008267D6" w:rsidP="008267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4196">
        <w:rPr>
          <w:rStyle w:val="ab"/>
          <w:rFonts w:ascii="Arial" w:hAnsi="Arial" w:cs="Arial"/>
          <w:sz w:val="18"/>
          <w:szCs w:val="18"/>
        </w:rPr>
        <w:footnoteRef/>
      </w:r>
      <w:r w:rsidRPr="00044196">
        <w:rPr>
          <w:rFonts w:ascii="Arial" w:hAnsi="Arial" w:cs="Arial"/>
          <w:sz w:val="18"/>
          <w:szCs w:val="18"/>
        </w:rPr>
        <w:t xml:space="preserve"> Заиченко Яна Ивановна, преподаватель кафедры УПП, </w:t>
      </w:r>
      <w:r w:rsidR="0027772C" w:rsidRPr="00044196">
        <w:rPr>
          <w:rFonts w:ascii="Arial" w:hAnsi="Arial" w:cs="Arial"/>
          <w:sz w:val="18"/>
          <w:szCs w:val="18"/>
        </w:rPr>
        <w:t>e</w:t>
      </w:r>
      <w:r w:rsidRPr="00044196">
        <w:rPr>
          <w:rFonts w:ascii="Arial" w:hAnsi="Arial" w:cs="Arial"/>
          <w:sz w:val="18"/>
          <w:szCs w:val="18"/>
        </w:rPr>
        <w:t>-</w:t>
      </w:r>
      <w:r w:rsidRPr="00044196">
        <w:rPr>
          <w:rFonts w:ascii="Arial" w:hAnsi="Arial" w:cs="Arial"/>
          <w:sz w:val="18"/>
          <w:szCs w:val="18"/>
          <w:lang w:val="en-US"/>
        </w:rPr>
        <w:t>mail</w:t>
      </w:r>
      <w:r w:rsidRPr="00044196">
        <w:rPr>
          <w:rFonts w:ascii="Arial" w:hAnsi="Arial" w:cs="Arial"/>
          <w:sz w:val="18"/>
          <w:szCs w:val="18"/>
        </w:rPr>
        <w:t xml:space="preserve">: </w:t>
      </w:r>
      <w:r w:rsidRPr="00044196">
        <w:rPr>
          <w:rFonts w:ascii="Arial" w:hAnsi="Arial" w:cs="Arial"/>
          <w:sz w:val="18"/>
          <w:szCs w:val="18"/>
          <w:lang w:val="en-US"/>
        </w:rPr>
        <w:t>dana</w:t>
      </w:r>
      <w:r w:rsidRPr="00044196">
        <w:rPr>
          <w:rFonts w:ascii="Arial" w:hAnsi="Arial" w:cs="Arial"/>
          <w:sz w:val="18"/>
          <w:szCs w:val="18"/>
        </w:rPr>
        <w:t>@</w:t>
      </w:r>
      <w:r w:rsidRPr="00044196">
        <w:rPr>
          <w:rFonts w:ascii="Arial" w:hAnsi="Arial" w:cs="Arial"/>
          <w:sz w:val="18"/>
          <w:szCs w:val="18"/>
          <w:lang w:val="en-US"/>
        </w:rPr>
        <w:t>istu</w:t>
      </w:r>
      <w:r w:rsidRPr="00044196">
        <w:rPr>
          <w:rFonts w:ascii="Arial" w:hAnsi="Arial" w:cs="Arial"/>
          <w:sz w:val="18"/>
          <w:szCs w:val="18"/>
        </w:rPr>
        <w:t>.</w:t>
      </w:r>
      <w:r w:rsidRPr="00044196">
        <w:rPr>
          <w:rFonts w:ascii="Arial" w:hAnsi="Arial" w:cs="Arial"/>
          <w:sz w:val="18"/>
          <w:szCs w:val="18"/>
          <w:lang w:val="en-US"/>
        </w:rPr>
        <w:t>edu</w:t>
      </w:r>
    </w:p>
    <w:p w:rsidR="008267D6" w:rsidRPr="00044196" w:rsidRDefault="008267D6" w:rsidP="008267D6">
      <w:pPr>
        <w:pStyle w:val="a9"/>
        <w:jc w:val="both"/>
        <w:rPr>
          <w:rFonts w:ascii="Arial" w:hAnsi="Arial" w:cs="Arial"/>
          <w:sz w:val="18"/>
          <w:szCs w:val="18"/>
          <w:lang w:val="en-US"/>
        </w:rPr>
      </w:pPr>
      <w:r w:rsidRPr="00044196">
        <w:rPr>
          <w:rFonts w:ascii="Arial" w:hAnsi="Arial" w:cs="Arial"/>
          <w:sz w:val="18"/>
          <w:szCs w:val="18"/>
          <w:lang w:val="en-US"/>
        </w:rPr>
        <w:t xml:space="preserve">Zaichenko Yana, </w:t>
      </w:r>
      <w:r w:rsidR="00CB37B6" w:rsidRPr="00044196">
        <w:rPr>
          <w:rFonts w:ascii="Arial" w:hAnsi="Arial" w:cs="Arial"/>
          <w:sz w:val="18"/>
          <w:szCs w:val="18"/>
          <w:lang w:val="en-US"/>
        </w:rPr>
        <w:t>Candidate of Economics sciences, Assistant Professor of The Management of Industrial Enterprises</w:t>
      </w:r>
      <w:r w:rsidRPr="00044196">
        <w:rPr>
          <w:rFonts w:ascii="Arial" w:hAnsi="Arial" w:cs="Arial"/>
          <w:sz w:val="18"/>
          <w:szCs w:val="18"/>
          <w:lang w:val="en-US"/>
        </w:rPr>
        <w:t>, е-mail: dana@istu.edu</w:t>
      </w:r>
    </w:p>
  </w:footnote>
  <w:footnote w:id="2">
    <w:p w:rsidR="008267D6" w:rsidRPr="00044196" w:rsidRDefault="008267D6" w:rsidP="008267D6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044196">
        <w:rPr>
          <w:rStyle w:val="ab"/>
          <w:rFonts w:ascii="Arial" w:hAnsi="Arial" w:cs="Arial"/>
          <w:sz w:val="18"/>
          <w:szCs w:val="18"/>
        </w:rPr>
        <w:footnoteRef/>
      </w:r>
      <w:r w:rsidRPr="00044196">
        <w:rPr>
          <w:rFonts w:ascii="Arial" w:hAnsi="Arial" w:cs="Arial"/>
          <w:sz w:val="18"/>
          <w:szCs w:val="18"/>
        </w:rPr>
        <w:t xml:space="preserve"> Мартынюк Алексей Владимирович, студент гр. УПИ</w:t>
      </w:r>
      <w:r w:rsidRPr="00044196">
        <w:rPr>
          <w:rFonts w:ascii="Arial" w:hAnsi="Arial" w:cs="Arial"/>
          <w:sz w:val="18"/>
          <w:szCs w:val="18"/>
          <w:lang w:val="en-US"/>
        </w:rPr>
        <w:t>-09-1, e-mail: alexmar.irk@gmail.com</w:t>
      </w:r>
    </w:p>
    <w:p w:rsidR="008267D6" w:rsidRPr="00044196" w:rsidRDefault="008267D6" w:rsidP="008267D6">
      <w:pPr>
        <w:pStyle w:val="a9"/>
        <w:jc w:val="both"/>
        <w:rPr>
          <w:rFonts w:ascii="Arial" w:hAnsi="Arial" w:cs="Arial"/>
          <w:sz w:val="18"/>
          <w:szCs w:val="18"/>
          <w:lang w:val="en-US"/>
        </w:rPr>
      </w:pPr>
      <w:r w:rsidRPr="00044196">
        <w:rPr>
          <w:rFonts w:ascii="Arial" w:hAnsi="Arial" w:cs="Arial"/>
          <w:sz w:val="18"/>
          <w:szCs w:val="18"/>
          <w:lang w:val="en-US"/>
        </w:rPr>
        <w:t>Martynyuk Alexei, the fifth year student of The Department of Management of Industrial Enterprises, e-mail: alexmar.irk@gmail.com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16B"/>
    <w:multiLevelType w:val="multilevel"/>
    <w:tmpl w:val="0C8A49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408674A"/>
    <w:multiLevelType w:val="multilevel"/>
    <w:tmpl w:val="B97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C"/>
    <w:rsid w:val="00004644"/>
    <w:rsid w:val="000050B8"/>
    <w:rsid w:val="0001033E"/>
    <w:rsid w:val="00014322"/>
    <w:rsid w:val="00023B42"/>
    <w:rsid w:val="0003038D"/>
    <w:rsid w:val="00030BC4"/>
    <w:rsid w:val="00044196"/>
    <w:rsid w:val="00061642"/>
    <w:rsid w:val="00081058"/>
    <w:rsid w:val="00082D44"/>
    <w:rsid w:val="0008389E"/>
    <w:rsid w:val="000863B6"/>
    <w:rsid w:val="000957C3"/>
    <w:rsid w:val="000A30DB"/>
    <w:rsid w:val="000A72ED"/>
    <w:rsid w:val="000C21F9"/>
    <w:rsid w:val="000C7D53"/>
    <w:rsid w:val="000D09C2"/>
    <w:rsid w:val="000D69A3"/>
    <w:rsid w:val="000D7CDD"/>
    <w:rsid w:val="001000DC"/>
    <w:rsid w:val="00104171"/>
    <w:rsid w:val="001158F8"/>
    <w:rsid w:val="00123393"/>
    <w:rsid w:val="00123F1F"/>
    <w:rsid w:val="00124D0A"/>
    <w:rsid w:val="00132C86"/>
    <w:rsid w:val="001342A6"/>
    <w:rsid w:val="00135985"/>
    <w:rsid w:val="001374DB"/>
    <w:rsid w:val="001377BF"/>
    <w:rsid w:val="00140160"/>
    <w:rsid w:val="00141FC5"/>
    <w:rsid w:val="00152EB2"/>
    <w:rsid w:val="001542AD"/>
    <w:rsid w:val="0015607F"/>
    <w:rsid w:val="001560BE"/>
    <w:rsid w:val="001608F5"/>
    <w:rsid w:val="001645C2"/>
    <w:rsid w:val="0017053C"/>
    <w:rsid w:val="001772C1"/>
    <w:rsid w:val="001815DC"/>
    <w:rsid w:val="0018428A"/>
    <w:rsid w:val="001865FB"/>
    <w:rsid w:val="001956DE"/>
    <w:rsid w:val="0019644D"/>
    <w:rsid w:val="00196918"/>
    <w:rsid w:val="001A4A59"/>
    <w:rsid w:val="001A7C0F"/>
    <w:rsid w:val="001B13DC"/>
    <w:rsid w:val="001B2B1F"/>
    <w:rsid w:val="001C7DF6"/>
    <w:rsid w:val="001D3BA1"/>
    <w:rsid w:val="001E2288"/>
    <w:rsid w:val="001E6D59"/>
    <w:rsid w:val="001F1653"/>
    <w:rsid w:val="0020014A"/>
    <w:rsid w:val="00211E75"/>
    <w:rsid w:val="002146A4"/>
    <w:rsid w:val="00215918"/>
    <w:rsid w:val="00223A03"/>
    <w:rsid w:val="002241D8"/>
    <w:rsid w:val="002306B7"/>
    <w:rsid w:val="0023580F"/>
    <w:rsid w:val="00241301"/>
    <w:rsid w:val="00245557"/>
    <w:rsid w:val="00251B5E"/>
    <w:rsid w:val="002527BE"/>
    <w:rsid w:val="00252976"/>
    <w:rsid w:val="0025564C"/>
    <w:rsid w:val="002562D0"/>
    <w:rsid w:val="00256944"/>
    <w:rsid w:val="002577E6"/>
    <w:rsid w:val="002606C9"/>
    <w:rsid w:val="00260DB6"/>
    <w:rsid w:val="00262532"/>
    <w:rsid w:val="00262EAE"/>
    <w:rsid w:val="00266F10"/>
    <w:rsid w:val="002673AE"/>
    <w:rsid w:val="002716E2"/>
    <w:rsid w:val="00274EE8"/>
    <w:rsid w:val="00277646"/>
    <w:rsid w:val="0027772C"/>
    <w:rsid w:val="00277B8F"/>
    <w:rsid w:val="00281A8E"/>
    <w:rsid w:val="002873C2"/>
    <w:rsid w:val="00294B51"/>
    <w:rsid w:val="00294E76"/>
    <w:rsid w:val="00296567"/>
    <w:rsid w:val="002A2B90"/>
    <w:rsid w:val="002A4C94"/>
    <w:rsid w:val="002A5239"/>
    <w:rsid w:val="002B61D6"/>
    <w:rsid w:val="002C21AC"/>
    <w:rsid w:val="002D1CD6"/>
    <w:rsid w:val="002D2A5B"/>
    <w:rsid w:val="002D2EEA"/>
    <w:rsid w:val="002D54DF"/>
    <w:rsid w:val="002E0EB0"/>
    <w:rsid w:val="002F17D7"/>
    <w:rsid w:val="002F56E4"/>
    <w:rsid w:val="002F788F"/>
    <w:rsid w:val="00303263"/>
    <w:rsid w:val="003032EF"/>
    <w:rsid w:val="00312B34"/>
    <w:rsid w:val="003148AD"/>
    <w:rsid w:val="00326D67"/>
    <w:rsid w:val="003402C0"/>
    <w:rsid w:val="00340C9F"/>
    <w:rsid w:val="00340D0A"/>
    <w:rsid w:val="00347B64"/>
    <w:rsid w:val="00355A4D"/>
    <w:rsid w:val="0036316A"/>
    <w:rsid w:val="00365D25"/>
    <w:rsid w:val="00370F2E"/>
    <w:rsid w:val="0037269C"/>
    <w:rsid w:val="00375E09"/>
    <w:rsid w:val="003839BF"/>
    <w:rsid w:val="003840F2"/>
    <w:rsid w:val="003A29B0"/>
    <w:rsid w:val="003A3617"/>
    <w:rsid w:val="003B300D"/>
    <w:rsid w:val="003B4636"/>
    <w:rsid w:val="003B7E54"/>
    <w:rsid w:val="003C2FBE"/>
    <w:rsid w:val="003D65B9"/>
    <w:rsid w:val="003E256B"/>
    <w:rsid w:val="003E32D8"/>
    <w:rsid w:val="003F061B"/>
    <w:rsid w:val="003F2FF8"/>
    <w:rsid w:val="003F689A"/>
    <w:rsid w:val="003F757D"/>
    <w:rsid w:val="003F7ACB"/>
    <w:rsid w:val="00402705"/>
    <w:rsid w:val="00402DF6"/>
    <w:rsid w:val="00414B74"/>
    <w:rsid w:val="00423561"/>
    <w:rsid w:val="00430F8F"/>
    <w:rsid w:val="00440E59"/>
    <w:rsid w:val="00442D0F"/>
    <w:rsid w:val="004467F7"/>
    <w:rsid w:val="004477B8"/>
    <w:rsid w:val="004503EF"/>
    <w:rsid w:val="00451078"/>
    <w:rsid w:val="004540E0"/>
    <w:rsid w:val="00455ECC"/>
    <w:rsid w:val="004578FB"/>
    <w:rsid w:val="004629B8"/>
    <w:rsid w:val="00473C8E"/>
    <w:rsid w:val="004925C8"/>
    <w:rsid w:val="004945E1"/>
    <w:rsid w:val="004B3E75"/>
    <w:rsid w:val="004B426C"/>
    <w:rsid w:val="004B55DA"/>
    <w:rsid w:val="004C00EF"/>
    <w:rsid w:val="004C07DF"/>
    <w:rsid w:val="004C17EB"/>
    <w:rsid w:val="004C3B72"/>
    <w:rsid w:val="004D0BB7"/>
    <w:rsid w:val="004D6612"/>
    <w:rsid w:val="004D795A"/>
    <w:rsid w:val="004D7B8F"/>
    <w:rsid w:val="004E35E0"/>
    <w:rsid w:val="004F1D47"/>
    <w:rsid w:val="004F57F3"/>
    <w:rsid w:val="004F5B60"/>
    <w:rsid w:val="00500364"/>
    <w:rsid w:val="00502C09"/>
    <w:rsid w:val="00506829"/>
    <w:rsid w:val="00512336"/>
    <w:rsid w:val="00516D68"/>
    <w:rsid w:val="00517C7F"/>
    <w:rsid w:val="005237CC"/>
    <w:rsid w:val="00525ABB"/>
    <w:rsid w:val="00525D56"/>
    <w:rsid w:val="00527530"/>
    <w:rsid w:val="0054293B"/>
    <w:rsid w:val="00544A55"/>
    <w:rsid w:val="0054695A"/>
    <w:rsid w:val="005470C8"/>
    <w:rsid w:val="00555C69"/>
    <w:rsid w:val="00556498"/>
    <w:rsid w:val="0056419F"/>
    <w:rsid w:val="00581A45"/>
    <w:rsid w:val="0058349D"/>
    <w:rsid w:val="00585510"/>
    <w:rsid w:val="0058654F"/>
    <w:rsid w:val="005A3DF4"/>
    <w:rsid w:val="005A5E53"/>
    <w:rsid w:val="005B4AFA"/>
    <w:rsid w:val="005B7297"/>
    <w:rsid w:val="005B7FAF"/>
    <w:rsid w:val="005C473F"/>
    <w:rsid w:val="005F4ACA"/>
    <w:rsid w:val="00601701"/>
    <w:rsid w:val="0060374B"/>
    <w:rsid w:val="00605CAC"/>
    <w:rsid w:val="00621E5F"/>
    <w:rsid w:val="006228B4"/>
    <w:rsid w:val="00627BF7"/>
    <w:rsid w:val="006367E0"/>
    <w:rsid w:val="006375D5"/>
    <w:rsid w:val="0064727E"/>
    <w:rsid w:val="0065052A"/>
    <w:rsid w:val="00652A4A"/>
    <w:rsid w:val="00656700"/>
    <w:rsid w:val="00656968"/>
    <w:rsid w:val="00656C13"/>
    <w:rsid w:val="00660303"/>
    <w:rsid w:val="006613EE"/>
    <w:rsid w:val="00661A58"/>
    <w:rsid w:val="00661E29"/>
    <w:rsid w:val="00663BBB"/>
    <w:rsid w:val="00663EFB"/>
    <w:rsid w:val="00670B86"/>
    <w:rsid w:val="006769F3"/>
    <w:rsid w:val="0068160C"/>
    <w:rsid w:val="00682116"/>
    <w:rsid w:val="0068747B"/>
    <w:rsid w:val="0069752E"/>
    <w:rsid w:val="006A39C6"/>
    <w:rsid w:val="006B65A0"/>
    <w:rsid w:val="006B6B9B"/>
    <w:rsid w:val="006C67FC"/>
    <w:rsid w:val="006C7884"/>
    <w:rsid w:val="006D4C83"/>
    <w:rsid w:val="006D5373"/>
    <w:rsid w:val="006D6272"/>
    <w:rsid w:val="006E0000"/>
    <w:rsid w:val="006E0ED3"/>
    <w:rsid w:val="006F4375"/>
    <w:rsid w:val="006F4D07"/>
    <w:rsid w:val="006F74FC"/>
    <w:rsid w:val="00701301"/>
    <w:rsid w:val="00702349"/>
    <w:rsid w:val="0071631E"/>
    <w:rsid w:val="00730D48"/>
    <w:rsid w:val="00734DE3"/>
    <w:rsid w:val="00741316"/>
    <w:rsid w:val="00744929"/>
    <w:rsid w:val="00746196"/>
    <w:rsid w:val="007466FC"/>
    <w:rsid w:val="00767005"/>
    <w:rsid w:val="007674DC"/>
    <w:rsid w:val="007758E2"/>
    <w:rsid w:val="00783157"/>
    <w:rsid w:val="00784491"/>
    <w:rsid w:val="00785DE6"/>
    <w:rsid w:val="00790EC2"/>
    <w:rsid w:val="00791932"/>
    <w:rsid w:val="00791F9D"/>
    <w:rsid w:val="0079772F"/>
    <w:rsid w:val="007A0F2A"/>
    <w:rsid w:val="007C3811"/>
    <w:rsid w:val="007D246B"/>
    <w:rsid w:val="007E36AB"/>
    <w:rsid w:val="007F1C36"/>
    <w:rsid w:val="00800776"/>
    <w:rsid w:val="00800BB6"/>
    <w:rsid w:val="008110B1"/>
    <w:rsid w:val="00814C8D"/>
    <w:rsid w:val="00820B52"/>
    <w:rsid w:val="00824E38"/>
    <w:rsid w:val="008267D6"/>
    <w:rsid w:val="00830050"/>
    <w:rsid w:val="00835387"/>
    <w:rsid w:val="0084182F"/>
    <w:rsid w:val="00842C7C"/>
    <w:rsid w:val="00843C7F"/>
    <w:rsid w:val="008474FE"/>
    <w:rsid w:val="00850B7C"/>
    <w:rsid w:val="00855E6A"/>
    <w:rsid w:val="00856761"/>
    <w:rsid w:val="008644E8"/>
    <w:rsid w:val="0086485B"/>
    <w:rsid w:val="008663AF"/>
    <w:rsid w:val="008677F4"/>
    <w:rsid w:val="00867874"/>
    <w:rsid w:val="00871F5B"/>
    <w:rsid w:val="00880FE4"/>
    <w:rsid w:val="00883B8F"/>
    <w:rsid w:val="00891F90"/>
    <w:rsid w:val="0089706A"/>
    <w:rsid w:val="008A3CE8"/>
    <w:rsid w:val="008A65ED"/>
    <w:rsid w:val="008A684F"/>
    <w:rsid w:val="008A77CB"/>
    <w:rsid w:val="008A7B2D"/>
    <w:rsid w:val="008B1AA2"/>
    <w:rsid w:val="008B4E87"/>
    <w:rsid w:val="008C7398"/>
    <w:rsid w:val="008C7DC1"/>
    <w:rsid w:val="008D582C"/>
    <w:rsid w:val="008E0599"/>
    <w:rsid w:val="008E43B9"/>
    <w:rsid w:val="008E6115"/>
    <w:rsid w:val="008E6574"/>
    <w:rsid w:val="008E66E5"/>
    <w:rsid w:val="008F446D"/>
    <w:rsid w:val="008F452F"/>
    <w:rsid w:val="008F5596"/>
    <w:rsid w:val="008F6A28"/>
    <w:rsid w:val="00900A08"/>
    <w:rsid w:val="00907C22"/>
    <w:rsid w:val="00916E67"/>
    <w:rsid w:val="009273A9"/>
    <w:rsid w:val="00935B0B"/>
    <w:rsid w:val="00942F0D"/>
    <w:rsid w:val="009456BF"/>
    <w:rsid w:val="009464F5"/>
    <w:rsid w:val="00947396"/>
    <w:rsid w:val="00953247"/>
    <w:rsid w:val="009564B9"/>
    <w:rsid w:val="00956E92"/>
    <w:rsid w:val="00957A2F"/>
    <w:rsid w:val="00962324"/>
    <w:rsid w:val="00962F38"/>
    <w:rsid w:val="009650D4"/>
    <w:rsid w:val="009668DC"/>
    <w:rsid w:val="00973812"/>
    <w:rsid w:val="00976698"/>
    <w:rsid w:val="00985A4A"/>
    <w:rsid w:val="0099543C"/>
    <w:rsid w:val="00997161"/>
    <w:rsid w:val="009A4C5A"/>
    <w:rsid w:val="009A7CA0"/>
    <w:rsid w:val="009B1559"/>
    <w:rsid w:val="009C3532"/>
    <w:rsid w:val="009C4383"/>
    <w:rsid w:val="009C64DC"/>
    <w:rsid w:val="009D0230"/>
    <w:rsid w:val="009E158A"/>
    <w:rsid w:val="009E3281"/>
    <w:rsid w:val="009E699F"/>
    <w:rsid w:val="009F3C08"/>
    <w:rsid w:val="009F491E"/>
    <w:rsid w:val="00A014C5"/>
    <w:rsid w:val="00A03C37"/>
    <w:rsid w:val="00A10837"/>
    <w:rsid w:val="00A13185"/>
    <w:rsid w:val="00A249A7"/>
    <w:rsid w:val="00A255F4"/>
    <w:rsid w:val="00A26328"/>
    <w:rsid w:val="00A3192B"/>
    <w:rsid w:val="00A43FAA"/>
    <w:rsid w:val="00A578AD"/>
    <w:rsid w:val="00A61E89"/>
    <w:rsid w:val="00A61F09"/>
    <w:rsid w:val="00A62CDC"/>
    <w:rsid w:val="00A65E0A"/>
    <w:rsid w:val="00A81E6B"/>
    <w:rsid w:val="00A856A8"/>
    <w:rsid w:val="00A90B24"/>
    <w:rsid w:val="00A915F3"/>
    <w:rsid w:val="00A922E9"/>
    <w:rsid w:val="00A954D8"/>
    <w:rsid w:val="00A96179"/>
    <w:rsid w:val="00AA31D3"/>
    <w:rsid w:val="00AB049E"/>
    <w:rsid w:val="00AB5F74"/>
    <w:rsid w:val="00AC2528"/>
    <w:rsid w:val="00AD3E8A"/>
    <w:rsid w:val="00AD7499"/>
    <w:rsid w:val="00AE2744"/>
    <w:rsid w:val="00AE36C2"/>
    <w:rsid w:val="00AE36EA"/>
    <w:rsid w:val="00AE647F"/>
    <w:rsid w:val="00B021F1"/>
    <w:rsid w:val="00B02CA4"/>
    <w:rsid w:val="00B07F29"/>
    <w:rsid w:val="00B115C7"/>
    <w:rsid w:val="00B11F20"/>
    <w:rsid w:val="00B152CE"/>
    <w:rsid w:val="00B33B04"/>
    <w:rsid w:val="00B4187F"/>
    <w:rsid w:val="00B435B9"/>
    <w:rsid w:val="00B5040F"/>
    <w:rsid w:val="00B50DF0"/>
    <w:rsid w:val="00B514E5"/>
    <w:rsid w:val="00B56665"/>
    <w:rsid w:val="00B567A0"/>
    <w:rsid w:val="00B71EE9"/>
    <w:rsid w:val="00B8158D"/>
    <w:rsid w:val="00B8281A"/>
    <w:rsid w:val="00B83882"/>
    <w:rsid w:val="00B91F14"/>
    <w:rsid w:val="00B925D1"/>
    <w:rsid w:val="00B94E1D"/>
    <w:rsid w:val="00B96E01"/>
    <w:rsid w:val="00BB21D0"/>
    <w:rsid w:val="00BB381F"/>
    <w:rsid w:val="00BB5688"/>
    <w:rsid w:val="00BB57BA"/>
    <w:rsid w:val="00BC114A"/>
    <w:rsid w:val="00BC117A"/>
    <w:rsid w:val="00BC3A8E"/>
    <w:rsid w:val="00BC4DB3"/>
    <w:rsid w:val="00BC7240"/>
    <w:rsid w:val="00BD1DC7"/>
    <w:rsid w:val="00BD3860"/>
    <w:rsid w:val="00BD4586"/>
    <w:rsid w:val="00BE1591"/>
    <w:rsid w:val="00BE335C"/>
    <w:rsid w:val="00BE4330"/>
    <w:rsid w:val="00BE7799"/>
    <w:rsid w:val="00BF09F3"/>
    <w:rsid w:val="00BF29CC"/>
    <w:rsid w:val="00BF378F"/>
    <w:rsid w:val="00BF3AB7"/>
    <w:rsid w:val="00C0124F"/>
    <w:rsid w:val="00C03404"/>
    <w:rsid w:val="00C053E9"/>
    <w:rsid w:val="00C1272C"/>
    <w:rsid w:val="00C13E75"/>
    <w:rsid w:val="00C150D8"/>
    <w:rsid w:val="00C236CD"/>
    <w:rsid w:val="00C26D2F"/>
    <w:rsid w:val="00C27975"/>
    <w:rsid w:val="00C3347B"/>
    <w:rsid w:val="00C33859"/>
    <w:rsid w:val="00C35676"/>
    <w:rsid w:val="00C36EAF"/>
    <w:rsid w:val="00C3722F"/>
    <w:rsid w:val="00C40588"/>
    <w:rsid w:val="00C425E0"/>
    <w:rsid w:val="00C42F86"/>
    <w:rsid w:val="00C45E57"/>
    <w:rsid w:val="00C46AE7"/>
    <w:rsid w:val="00C60015"/>
    <w:rsid w:val="00C60798"/>
    <w:rsid w:val="00C63E7D"/>
    <w:rsid w:val="00C649CB"/>
    <w:rsid w:val="00C661F6"/>
    <w:rsid w:val="00C77FB6"/>
    <w:rsid w:val="00C81291"/>
    <w:rsid w:val="00C81D3A"/>
    <w:rsid w:val="00C837C9"/>
    <w:rsid w:val="00C83EB8"/>
    <w:rsid w:val="00C85829"/>
    <w:rsid w:val="00C902D3"/>
    <w:rsid w:val="00CA115A"/>
    <w:rsid w:val="00CA1619"/>
    <w:rsid w:val="00CA2267"/>
    <w:rsid w:val="00CA43FC"/>
    <w:rsid w:val="00CB37B6"/>
    <w:rsid w:val="00CB702A"/>
    <w:rsid w:val="00CC1DDD"/>
    <w:rsid w:val="00CD51D5"/>
    <w:rsid w:val="00CD5766"/>
    <w:rsid w:val="00CE0B22"/>
    <w:rsid w:val="00CF453A"/>
    <w:rsid w:val="00D0587D"/>
    <w:rsid w:val="00D058EF"/>
    <w:rsid w:val="00D143AB"/>
    <w:rsid w:val="00D14D75"/>
    <w:rsid w:val="00D1657A"/>
    <w:rsid w:val="00D16DEC"/>
    <w:rsid w:val="00D1771F"/>
    <w:rsid w:val="00D207C6"/>
    <w:rsid w:val="00D22BD5"/>
    <w:rsid w:val="00D273D4"/>
    <w:rsid w:val="00D32A5E"/>
    <w:rsid w:val="00D36F3F"/>
    <w:rsid w:val="00D454EF"/>
    <w:rsid w:val="00D465B7"/>
    <w:rsid w:val="00D468F5"/>
    <w:rsid w:val="00D46944"/>
    <w:rsid w:val="00D615ED"/>
    <w:rsid w:val="00D748F6"/>
    <w:rsid w:val="00D75F24"/>
    <w:rsid w:val="00D96588"/>
    <w:rsid w:val="00DA5E06"/>
    <w:rsid w:val="00DA6FFE"/>
    <w:rsid w:val="00DB0DF7"/>
    <w:rsid w:val="00DB1A4E"/>
    <w:rsid w:val="00DB4146"/>
    <w:rsid w:val="00DB4D7D"/>
    <w:rsid w:val="00DC3DD8"/>
    <w:rsid w:val="00DC48EE"/>
    <w:rsid w:val="00DD2F0D"/>
    <w:rsid w:val="00DD434A"/>
    <w:rsid w:val="00DD7A73"/>
    <w:rsid w:val="00DD7F97"/>
    <w:rsid w:val="00DE4D4D"/>
    <w:rsid w:val="00DE7E25"/>
    <w:rsid w:val="00DF20D3"/>
    <w:rsid w:val="00E01CD1"/>
    <w:rsid w:val="00E026A8"/>
    <w:rsid w:val="00E04FD0"/>
    <w:rsid w:val="00E164BF"/>
    <w:rsid w:val="00E31BD8"/>
    <w:rsid w:val="00E5049D"/>
    <w:rsid w:val="00E52A95"/>
    <w:rsid w:val="00E6141C"/>
    <w:rsid w:val="00E61C90"/>
    <w:rsid w:val="00E634F0"/>
    <w:rsid w:val="00E739EB"/>
    <w:rsid w:val="00E740FC"/>
    <w:rsid w:val="00E87895"/>
    <w:rsid w:val="00E97CC9"/>
    <w:rsid w:val="00EA05FB"/>
    <w:rsid w:val="00EA080A"/>
    <w:rsid w:val="00EA7F10"/>
    <w:rsid w:val="00EB04F5"/>
    <w:rsid w:val="00EB0E62"/>
    <w:rsid w:val="00EB7487"/>
    <w:rsid w:val="00EC09CB"/>
    <w:rsid w:val="00EC4D64"/>
    <w:rsid w:val="00ED1947"/>
    <w:rsid w:val="00ED4B95"/>
    <w:rsid w:val="00ED4CC6"/>
    <w:rsid w:val="00EE3237"/>
    <w:rsid w:val="00EE3CF0"/>
    <w:rsid w:val="00EF274E"/>
    <w:rsid w:val="00EF785C"/>
    <w:rsid w:val="00F01E5D"/>
    <w:rsid w:val="00F02CDC"/>
    <w:rsid w:val="00F06DCD"/>
    <w:rsid w:val="00F124D0"/>
    <w:rsid w:val="00F13DB0"/>
    <w:rsid w:val="00F15345"/>
    <w:rsid w:val="00F20BE5"/>
    <w:rsid w:val="00F23069"/>
    <w:rsid w:val="00F247A4"/>
    <w:rsid w:val="00F26B4D"/>
    <w:rsid w:val="00F26B96"/>
    <w:rsid w:val="00F305E1"/>
    <w:rsid w:val="00F33BBC"/>
    <w:rsid w:val="00F34158"/>
    <w:rsid w:val="00F34273"/>
    <w:rsid w:val="00F36858"/>
    <w:rsid w:val="00F41BFE"/>
    <w:rsid w:val="00F4277F"/>
    <w:rsid w:val="00F4386A"/>
    <w:rsid w:val="00F47E4E"/>
    <w:rsid w:val="00F52275"/>
    <w:rsid w:val="00F54B43"/>
    <w:rsid w:val="00F54B75"/>
    <w:rsid w:val="00F601F1"/>
    <w:rsid w:val="00F6074A"/>
    <w:rsid w:val="00F639FE"/>
    <w:rsid w:val="00F708B0"/>
    <w:rsid w:val="00F7714F"/>
    <w:rsid w:val="00F839C1"/>
    <w:rsid w:val="00F91C2B"/>
    <w:rsid w:val="00FA5467"/>
    <w:rsid w:val="00FC18A7"/>
    <w:rsid w:val="00FC3B79"/>
    <w:rsid w:val="00FD4605"/>
    <w:rsid w:val="00FE4546"/>
    <w:rsid w:val="00FE7246"/>
    <w:rsid w:val="00FF1509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6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882"/>
  </w:style>
  <w:style w:type="paragraph" w:styleId="a3">
    <w:name w:val="Normal (Web)"/>
    <w:basedOn w:val="a"/>
    <w:uiPriority w:val="99"/>
    <w:unhideWhenUsed/>
    <w:rsid w:val="003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ACB"/>
    <w:rPr>
      <w:color w:val="0000FF"/>
      <w:u w:val="single"/>
    </w:rPr>
  </w:style>
  <w:style w:type="character" w:customStyle="1" w:styleId="noprint">
    <w:name w:val="noprint"/>
    <w:basedOn w:val="a0"/>
    <w:rsid w:val="00734DE3"/>
  </w:style>
  <w:style w:type="paragraph" w:styleId="a5">
    <w:name w:val="Balloon Text"/>
    <w:basedOn w:val="a"/>
    <w:link w:val="a6"/>
    <w:uiPriority w:val="99"/>
    <w:semiHidden/>
    <w:unhideWhenUsed/>
    <w:rsid w:val="00A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D2F0D"/>
    <w:rPr>
      <w:b/>
      <w:bCs/>
    </w:rPr>
  </w:style>
  <w:style w:type="paragraph" w:styleId="a8">
    <w:name w:val="List Paragraph"/>
    <w:basedOn w:val="a"/>
    <w:uiPriority w:val="34"/>
    <w:qFormat/>
    <w:rsid w:val="009A7CA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267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67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267D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B6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voted">
    <w:name w:val="evoted"/>
    <w:basedOn w:val="a0"/>
    <w:rsid w:val="006B65A0"/>
  </w:style>
  <w:style w:type="character" w:customStyle="1" w:styleId="ename">
    <w:name w:val="ename"/>
    <w:basedOn w:val="a0"/>
    <w:rsid w:val="006B65A0"/>
  </w:style>
  <w:style w:type="paragraph" w:styleId="ac">
    <w:name w:val="header"/>
    <w:basedOn w:val="a"/>
    <w:link w:val="ad"/>
    <w:uiPriority w:val="99"/>
    <w:semiHidden/>
    <w:unhideWhenUsed/>
    <w:rsid w:val="002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772C"/>
  </w:style>
  <w:style w:type="paragraph" w:styleId="ae">
    <w:name w:val="footer"/>
    <w:basedOn w:val="a"/>
    <w:link w:val="af"/>
    <w:uiPriority w:val="99"/>
    <w:unhideWhenUsed/>
    <w:rsid w:val="002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6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3882"/>
  </w:style>
  <w:style w:type="paragraph" w:styleId="a3">
    <w:name w:val="Normal (Web)"/>
    <w:basedOn w:val="a"/>
    <w:uiPriority w:val="99"/>
    <w:unhideWhenUsed/>
    <w:rsid w:val="003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7ACB"/>
    <w:rPr>
      <w:color w:val="0000FF"/>
      <w:u w:val="single"/>
    </w:rPr>
  </w:style>
  <w:style w:type="character" w:customStyle="1" w:styleId="noprint">
    <w:name w:val="noprint"/>
    <w:basedOn w:val="a0"/>
    <w:rsid w:val="00734DE3"/>
  </w:style>
  <w:style w:type="paragraph" w:styleId="a5">
    <w:name w:val="Balloon Text"/>
    <w:basedOn w:val="a"/>
    <w:link w:val="a6"/>
    <w:uiPriority w:val="99"/>
    <w:semiHidden/>
    <w:unhideWhenUsed/>
    <w:rsid w:val="00A1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3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D2F0D"/>
    <w:rPr>
      <w:b/>
      <w:bCs/>
    </w:rPr>
  </w:style>
  <w:style w:type="paragraph" w:styleId="a8">
    <w:name w:val="List Paragraph"/>
    <w:basedOn w:val="a"/>
    <w:uiPriority w:val="34"/>
    <w:qFormat/>
    <w:rsid w:val="009A7CA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267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67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267D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B6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6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voted">
    <w:name w:val="evoted"/>
    <w:basedOn w:val="a0"/>
    <w:rsid w:val="006B65A0"/>
  </w:style>
  <w:style w:type="character" w:customStyle="1" w:styleId="ename">
    <w:name w:val="ename"/>
    <w:basedOn w:val="a0"/>
    <w:rsid w:val="006B65A0"/>
  </w:style>
  <w:style w:type="paragraph" w:styleId="ac">
    <w:name w:val="header"/>
    <w:basedOn w:val="a"/>
    <w:link w:val="ad"/>
    <w:uiPriority w:val="99"/>
    <w:semiHidden/>
    <w:unhideWhenUsed/>
    <w:rsid w:val="002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772C"/>
  </w:style>
  <w:style w:type="paragraph" w:styleId="ae">
    <w:name w:val="footer"/>
    <w:basedOn w:val="a"/>
    <w:link w:val="af"/>
    <w:uiPriority w:val="99"/>
    <w:unhideWhenUsed/>
    <w:rsid w:val="0027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343">
              <w:marLeft w:val="0"/>
              <w:marRight w:val="0"/>
              <w:marTop w:val="301"/>
              <w:marBottom w:val="167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060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88">
              <w:marLeft w:val="67"/>
              <w:marRight w:val="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549">
              <w:marLeft w:val="0"/>
              <w:marRight w:val="0"/>
              <w:marTop w:val="301"/>
              <w:marBottom w:val="167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</w:divsChild>
    </w:div>
    <w:div w:id="1711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246B-98E0-490E-B5CC-AA440E6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Победаш Евгения Владимировна</cp:lastModifiedBy>
  <cp:revision>3</cp:revision>
  <dcterms:created xsi:type="dcterms:W3CDTF">2013-12-18T04:14:00Z</dcterms:created>
  <dcterms:modified xsi:type="dcterms:W3CDTF">2013-12-18T04:58:00Z</dcterms:modified>
</cp:coreProperties>
</file>