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8" w:rsidRPr="002134BE" w:rsidRDefault="00061D08" w:rsidP="00DA72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134BE">
        <w:rPr>
          <w:rFonts w:ascii="Arial" w:hAnsi="Arial" w:cs="Arial"/>
          <w:b/>
          <w:bCs/>
        </w:rPr>
        <w:t xml:space="preserve">УДК </w:t>
      </w:r>
      <w:r w:rsidR="00E64CC0" w:rsidRPr="002134BE">
        <w:rPr>
          <w:rFonts w:ascii="Arial" w:hAnsi="Arial" w:cs="Arial"/>
          <w:b/>
          <w:bCs/>
        </w:rPr>
        <w:t>338.45+622</w:t>
      </w:r>
      <w:r w:rsidRPr="002134BE">
        <w:rPr>
          <w:rFonts w:ascii="Arial" w:hAnsi="Arial" w:cs="Arial"/>
          <w:b/>
          <w:bCs/>
        </w:rPr>
        <w:t xml:space="preserve"> </w:t>
      </w:r>
    </w:p>
    <w:p w:rsidR="00061D08" w:rsidRPr="002134BE" w:rsidRDefault="00D859A6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ПРОБЛЕМЫ И ПЕРСПЕКТИВЫ ПРИВЛЕЧЕНИЯ ИНВЕСТИЦИЙ В ЭНЕРГЕТИКУ</w:t>
      </w:r>
    </w:p>
    <w:p w:rsidR="00D859A6" w:rsidRPr="002134BE" w:rsidRDefault="00D859A6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1D08" w:rsidRPr="002134BE" w:rsidRDefault="00BC298A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К.В. Суслов</w:t>
      </w:r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1"/>
      </w:r>
      <w:r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В.Ю. Конюхов</w:t>
      </w:r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2"/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A723C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Н.В. </w:t>
      </w:r>
      <w:proofErr w:type="spellStart"/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Федчишин</w:t>
      </w:r>
      <w:proofErr w:type="spellEnd"/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3"/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.,</w:t>
      </w:r>
      <w:r w:rsidR="002B3E69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723C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Е.А. </w:t>
      </w:r>
      <w:proofErr w:type="spellStart"/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Корытов</w:t>
      </w:r>
      <w:proofErr w:type="spellEnd"/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4"/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A723C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А.В. </w:t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Лебедев</w:t>
      </w:r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5"/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A723C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А.В. </w:t>
      </w:r>
      <w:r w:rsidR="00D800C2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Семенов</w:t>
      </w:r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6"/>
      </w:r>
      <w:r w:rsidR="00D70CD0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A723C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Н.А. </w:t>
      </w:r>
      <w:proofErr w:type="spellStart"/>
      <w:r w:rsidR="00D70CD0" w:rsidRPr="00213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Шамарова</w:t>
      </w:r>
      <w:proofErr w:type="spellEnd"/>
      <w:r w:rsidR="002134BE" w:rsidRPr="002134BE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footnoteReference w:id="7"/>
      </w:r>
    </w:p>
    <w:p w:rsidR="001B1FD3" w:rsidRPr="002134BE" w:rsidRDefault="001B1FD3" w:rsidP="00DA72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Иркутский национальный исследовательский технический университет, </w:t>
      </w:r>
    </w:p>
    <w:p w:rsidR="001B1FD3" w:rsidRPr="002134BE" w:rsidRDefault="002E79DC" w:rsidP="00DA72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664074</w:t>
      </w:r>
      <w:r w:rsidR="001B1FD3" w:rsidRPr="002134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Россия, </w:t>
      </w:r>
      <w:r w:rsidR="001B1FD3" w:rsidRPr="002134BE">
        <w:rPr>
          <w:rFonts w:ascii="Arial" w:hAnsi="Arial" w:cs="Arial"/>
          <w:sz w:val="20"/>
          <w:szCs w:val="20"/>
        </w:rPr>
        <w:t>г. Иркутск, ул. Лермонтова, 83.</w:t>
      </w:r>
    </w:p>
    <w:p w:rsidR="00DA723C" w:rsidRPr="002134BE" w:rsidRDefault="00717F0A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34BE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анализ причин сдерживания инвестиций в топливно-энергетический комплекс России </w:t>
      </w:r>
    </w:p>
    <w:p w:rsidR="00647A47" w:rsidRPr="002134BE" w:rsidRDefault="00717F0A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34BE">
        <w:rPr>
          <w:rFonts w:ascii="Arial" w:eastAsia="Times New Roman" w:hAnsi="Arial" w:cs="Arial"/>
          <w:sz w:val="20"/>
          <w:szCs w:val="20"/>
          <w:lang w:eastAsia="ru-RU"/>
        </w:rPr>
        <w:t xml:space="preserve">и предлагаются возможные пути улучшения инвестиционного климата и привлечения инвестиций.  </w:t>
      </w:r>
    </w:p>
    <w:p w:rsidR="002B3E69" w:rsidRPr="002134BE" w:rsidRDefault="002B3E69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>Ключевые слова:  инвестиции</w:t>
      </w:r>
      <w:r w:rsidR="00DA723C"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>;</w:t>
      </w:r>
      <w:r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энергетика</w:t>
      </w:r>
      <w:r w:rsidR="00DA723C"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>;</w:t>
      </w:r>
      <w:r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эффективность</w:t>
      </w:r>
      <w:r w:rsidR="00DA723C" w:rsidRPr="002134BE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2134BE" w:rsidRPr="002134BE" w:rsidRDefault="002134BE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134BE" w:rsidRPr="002134BE" w:rsidRDefault="002134BE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134BE" w:rsidRPr="002134BE" w:rsidRDefault="002134BE" w:rsidP="002134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PROBLEMS AND PROSPECTS OF INVESTMENT MOBILIZATION IN ENERGY</w:t>
      </w:r>
    </w:p>
    <w:p w:rsidR="002134BE" w:rsidRPr="002134BE" w:rsidRDefault="002134BE" w:rsidP="002134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K.Suslov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V.Konyuhov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N.Fedchishin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E.Korytov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A.Lebedev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A.Semenov</w:t>
      </w:r>
      <w:proofErr w:type="spellEnd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, </w:t>
      </w:r>
      <w:proofErr w:type="spellStart"/>
      <w:r w:rsidRPr="002134BE">
        <w:rPr>
          <w:rFonts w:ascii="Arial" w:eastAsia="Times New Roman" w:hAnsi="Arial" w:cs="Arial"/>
          <w:b/>
          <w:sz w:val="20"/>
          <w:szCs w:val="20"/>
          <w:lang w:val="en-US" w:eastAsia="ru-RU"/>
        </w:rPr>
        <w:t>N.Shamarova</w:t>
      </w:r>
      <w:proofErr w:type="spellEnd"/>
    </w:p>
    <w:p w:rsidR="002134BE" w:rsidRPr="002134BE" w:rsidRDefault="002134BE" w:rsidP="002134BE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Irkutsk National Research Technical University,</w:t>
      </w:r>
    </w:p>
    <w:p w:rsidR="002134BE" w:rsidRPr="002134BE" w:rsidRDefault="002134BE" w:rsidP="002134BE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134BE">
        <w:rPr>
          <w:rFonts w:ascii="Arial" w:eastAsia="Calibri" w:hAnsi="Arial" w:cs="Arial"/>
          <w:sz w:val="20"/>
          <w:szCs w:val="20"/>
          <w:lang w:val="en-US"/>
        </w:rPr>
        <w:t>83 Lermontov St., Irkutsk, 664074</w:t>
      </w:r>
    </w:p>
    <w:p w:rsidR="002134BE" w:rsidRPr="002134BE" w:rsidRDefault="002134BE" w:rsidP="002134B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The article presents the analysis of the reasons for containment of investments in the fuel and energy co</w:t>
      </w: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plex of Russia. The authors propose possible ways to improve the investment climate and investment mobil</w:t>
      </w: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2134BE">
        <w:rPr>
          <w:rFonts w:ascii="Arial" w:eastAsia="Times New Roman" w:hAnsi="Arial" w:cs="Arial"/>
          <w:sz w:val="20"/>
          <w:szCs w:val="20"/>
          <w:lang w:val="en-US" w:eastAsia="ru-RU"/>
        </w:rPr>
        <w:t>zation.</w:t>
      </w:r>
    </w:p>
    <w:p w:rsidR="002134BE" w:rsidRPr="002134BE" w:rsidRDefault="002134BE" w:rsidP="002134B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2134BE">
        <w:rPr>
          <w:rFonts w:ascii="Arial" w:eastAsia="Times New Roman" w:hAnsi="Arial" w:cs="Arial"/>
          <w:i/>
          <w:sz w:val="20"/>
          <w:szCs w:val="20"/>
          <w:lang w:val="en-US" w:eastAsia="ru-RU"/>
        </w:rPr>
        <w:t>Key words: investments; energy; efficiency.</w:t>
      </w:r>
    </w:p>
    <w:p w:rsidR="002134BE" w:rsidRPr="002134BE" w:rsidRDefault="002134BE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:rsidR="00D859A6" w:rsidRPr="002134BE" w:rsidRDefault="00D859A6" w:rsidP="00DA7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:rsidR="009816D8" w:rsidRPr="002134BE" w:rsidRDefault="009816D8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Энергетика является отраслью первичного сектора экономики, представляет собой своео</w:t>
      </w:r>
      <w:r w:rsidRPr="002134BE">
        <w:rPr>
          <w:rFonts w:ascii="Arial" w:hAnsi="Arial" w:cs="Arial"/>
          <w:sz w:val="20"/>
          <w:szCs w:val="20"/>
        </w:rPr>
        <w:t>б</w:t>
      </w:r>
      <w:r w:rsidRPr="002134BE">
        <w:rPr>
          <w:rFonts w:ascii="Arial" w:hAnsi="Arial" w:cs="Arial"/>
          <w:sz w:val="20"/>
          <w:szCs w:val="20"/>
        </w:rPr>
        <w:t>разную промышленную базу для экономического развития остальных отраслей сферы производства и услуг. Очевидно, что именно выработка энергии является тем ограничителем, который может пр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пятствовать созданию новых производств, особенно энергоемких.</w:t>
      </w:r>
    </w:p>
    <w:p w:rsidR="001C7BAA" w:rsidRPr="002134BE" w:rsidRDefault="001C7BAA" w:rsidP="001B1F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134BE">
        <w:rPr>
          <w:rFonts w:ascii="Arial" w:hAnsi="Arial" w:cs="Arial"/>
          <w:sz w:val="20"/>
          <w:szCs w:val="20"/>
        </w:rPr>
        <w:t xml:space="preserve">Проблемы, которые стоят </w:t>
      </w:r>
      <w:proofErr w:type="gramStart"/>
      <w:r w:rsidRPr="002134BE">
        <w:rPr>
          <w:rFonts w:ascii="Arial" w:hAnsi="Arial" w:cs="Arial"/>
          <w:sz w:val="20"/>
          <w:szCs w:val="20"/>
        </w:rPr>
        <w:t>перед</w:t>
      </w:r>
      <w:proofErr w:type="gramEnd"/>
      <w:r w:rsidRPr="002134BE">
        <w:rPr>
          <w:rFonts w:ascii="Arial" w:hAnsi="Arial" w:cs="Arial"/>
          <w:sz w:val="20"/>
          <w:szCs w:val="20"/>
        </w:rPr>
        <w:t xml:space="preserve"> ТЭК – это наличие значительной доли – около 50–70</w:t>
      </w:r>
      <w:r w:rsidR="00DA723C" w:rsidRPr="002134BE">
        <w:rPr>
          <w:rFonts w:ascii="Arial" w:hAnsi="Arial" w:cs="Arial"/>
          <w:sz w:val="20"/>
          <w:szCs w:val="20"/>
        </w:rPr>
        <w:t xml:space="preserve"> </w:t>
      </w:r>
      <w:r w:rsidRPr="002134BE">
        <w:rPr>
          <w:rFonts w:ascii="Arial" w:hAnsi="Arial" w:cs="Arial"/>
          <w:sz w:val="20"/>
          <w:szCs w:val="20"/>
        </w:rPr>
        <w:t>% – ф</w:t>
      </w:r>
      <w:r w:rsidRPr="002134BE">
        <w:rPr>
          <w:rFonts w:ascii="Arial" w:hAnsi="Arial" w:cs="Arial"/>
          <w:sz w:val="20"/>
          <w:szCs w:val="20"/>
        </w:rPr>
        <w:t>и</w:t>
      </w:r>
      <w:r w:rsidRPr="002134BE">
        <w:rPr>
          <w:rFonts w:ascii="Arial" w:hAnsi="Arial" w:cs="Arial"/>
          <w:sz w:val="20"/>
          <w:szCs w:val="20"/>
        </w:rPr>
        <w:t>зически и морально изношенных основных производственных фондов. Особенно ярко выражена эта проблема в теплоэнергетике и тепловом хозяйстве – из-за большого количества мелких технологич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ски устаревших котельных с высокой степенью износа, из-за значительной протяженности и изн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шенности трубопроводов и изоляции тепловых сетей и, как следствие, существенного превышения (в среднем в 1,5 раза больше норматива) расхода тепловой энергии на отопление.</w:t>
      </w:r>
      <w:r w:rsidRPr="002134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Несовершенные технологии по тепло- и энергосбережению приводит низкому КПД,  потере тепла и многочисленным авариям и утечкам,  к росту тарифов.</w:t>
      </w:r>
    </w:p>
    <w:p w:rsidR="009816D8" w:rsidRPr="002134BE" w:rsidRDefault="00C90FF5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Общий потенциал энергосбережения начального уровня </w:t>
      </w:r>
      <w:r w:rsidR="005B7DB1" w:rsidRPr="002134BE">
        <w:rPr>
          <w:rFonts w:ascii="Arial" w:hAnsi="Arial" w:cs="Arial"/>
          <w:sz w:val="20"/>
          <w:szCs w:val="20"/>
        </w:rPr>
        <w:t>в России в настоящее время оце</w:t>
      </w:r>
      <w:r w:rsidRPr="002134BE">
        <w:rPr>
          <w:rFonts w:ascii="Arial" w:hAnsi="Arial" w:cs="Arial"/>
          <w:sz w:val="20"/>
          <w:szCs w:val="20"/>
        </w:rPr>
        <w:t>н</w:t>
      </w:r>
      <w:r w:rsidRPr="002134BE">
        <w:rPr>
          <w:rFonts w:ascii="Arial" w:hAnsi="Arial" w:cs="Arial"/>
          <w:sz w:val="20"/>
          <w:szCs w:val="20"/>
        </w:rPr>
        <w:t>и</w:t>
      </w:r>
      <w:r w:rsidRPr="002134BE">
        <w:rPr>
          <w:rFonts w:ascii="Arial" w:hAnsi="Arial" w:cs="Arial"/>
          <w:sz w:val="20"/>
          <w:szCs w:val="20"/>
        </w:rPr>
        <w:t>вается примерно в 40–45 % от объема текущего энергопотребления. По различным оценкам н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оправданные потери в российской системе коммунального теплоснабжения доходят до 60 %. Пов</w:t>
      </w:r>
      <w:r w:rsidRPr="002134BE">
        <w:rPr>
          <w:rFonts w:ascii="Arial" w:hAnsi="Arial" w:cs="Arial"/>
          <w:sz w:val="20"/>
          <w:szCs w:val="20"/>
        </w:rPr>
        <w:t>ы</w:t>
      </w:r>
      <w:r w:rsidRPr="002134BE">
        <w:rPr>
          <w:rFonts w:ascii="Arial" w:hAnsi="Arial" w:cs="Arial"/>
          <w:sz w:val="20"/>
          <w:szCs w:val="20"/>
        </w:rPr>
        <w:t>шение энергоэффективности – это большая макроэкономическая задача, и ожидаемы</w:t>
      </w:r>
      <w:r w:rsidR="005B7DB1" w:rsidRPr="002134BE">
        <w:rPr>
          <w:rFonts w:ascii="Arial" w:hAnsi="Arial" w:cs="Arial"/>
          <w:sz w:val="20"/>
          <w:szCs w:val="20"/>
        </w:rPr>
        <w:t>й эф</w:t>
      </w:r>
      <w:r w:rsidRPr="002134BE">
        <w:rPr>
          <w:rFonts w:ascii="Arial" w:hAnsi="Arial" w:cs="Arial"/>
          <w:sz w:val="20"/>
          <w:szCs w:val="20"/>
        </w:rPr>
        <w:t>фект от ее решения зависит не только от сокращения потребления</w:t>
      </w:r>
      <w:r w:rsidR="005B7DB1" w:rsidRPr="002134BE">
        <w:rPr>
          <w:rFonts w:ascii="Arial" w:hAnsi="Arial" w:cs="Arial"/>
          <w:sz w:val="20"/>
          <w:szCs w:val="20"/>
        </w:rPr>
        <w:t xml:space="preserve"> энергоресурсов, но и от запус</w:t>
      </w:r>
      <w:r w:rsidRPr="002134BE">
        <w:rPr>
          <w:rFonts w:ascii="Arial" w:hAnsi="Arial" w:cs="Arial"/>
          <w:sz w:val="20"/>
          <w:szCs w:val="20"/>
        </w:rPr>
        <w:t>ка новых инн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вационных процессов, от внедрения передовых технологических решений</w:t>
      </w:r>
      <w:r w:rsidR="005B7DB1" w:rsidRPr="002134BE">
        <w:rPr>
          <w:rFonts w:ascii="Arial" w:hAnsi="Arial" w:cs="Arial"/>
          <w:sz w:val="20"/>
          <w:szCs w:val="20"/>
        </w:rPr>
        <w:t>.</w:t>
      </w:r>
    </w:p>
    <w:p w:rsidR="00312548" w:rsidRPr="002134BE" w:rsidRDefault="000918D3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lastRenderedPageBreak/>
        <w:t xml:space="preserve"> В программе развития объектов энергетики говорится, что к 2030 году для нормального ра</w:t>
      </w:r>
      <w:r w:rsidRPr="002134BE">
        <w:rPr>
          <w:rFonts w:ascii="Arial" w:hAnsi="Arial" w:cs="Arial"/>
          <w:sz w:val="20"/>
          <w:szCs w:val="20"/>
        </w:rPr>
        <w:t>з</w:t>
      </w:r>
      <w:r w:rsidRPr="002134BE">
        <w:rPr>
          <w:rFonts w:ascii="Arial" w:hAnsi="Arial" w:cs="Arial"/>
          <w:sz w:val="20"/>
          <w:szCs w:val="20"/>
        </w:rPr>
        <w:t>вития в стране дополнительно должны быть введены примерно 170</w:t>
      </w:r>
      <w:r w:rsidR="00DA723C" w:rsidRPr="002134BE">
        <w:rPr>
          <w:rFonts w:ascii="Arial" w:hAnsi="Arial" w:cs="Arial"/>
          <w:sz w:val="20"/>
          <w:szCs w:val="20"/>
        </w:rPr>
        <w:t>–</w:t>
      </w:r>
      <w:r w:rsidRPr="002134BE">
        <w:rPr>
          <w:rFonts w:ascii="Arial" w:hAnsi="Arial" w:cs="Arial"/>
          <w:sz w:val="20"/>
          <w:szCs w:val="20"/>
        </w:rPr>
        <w:t xml:space="preserve">180 гигаватт мощностей, то есть, по восемь гигаватт в год. В финансовом плане для этого потребуется порядка 10 </w:t>
      </w:r>
      <w:proofErr w:type="gramStart"/>
      <w:r w:rsidRPr="002134BE">
        <w:rPr>
          <w:rFonts w:ascii="Arial" w:hAnsi="Arial" w:cs="Arial"/>
          <w:sz w:val="20"/>
          <w:szCs w:val="20"/>
        </w:rPr>
        <w:t>трлн</w:t>
      </w:r>
      <w:proofErr w:type="gramEnd"/>
      <w:r w:rsidRPr="002134BE">
        <w:rPr>
          <w:rFonts w:ascii="Arial" w:hAnsi="Arial" w:cs="Arial"/>
          <w:sz w:val="20"/>
          <w:szCs w:val="20"/>
        </w:rPr>
        <w:t xml:space="preserve"> рублей.</w:t>
      </w:r>
      <w:r w:rsidR="00CB7894" w:rsidRPr="002134BE">
        <w:rPr>
          <w:rFonts w:ascii="Arial" w:hAnsi="Arial" w:cs="Arial"/>
          <w:sz w:val="20"/>
          <w:szCs w:val="20"/>
        </w:rPr>
        <w:t xml:space="preserve"> Эне</w:t>
      </w:r>
      <w:r w:rsidR="00CB7894" w:rsidRPr="002134BE">
        <w:rPr>
          <w:rFonts w:ascii="Arial" w:hAnsi="Arial" w:cs="Arial"/>
          <w:sz w:val="20"/>
          <w:szCs w:val="20"/>
        </w:rPr>
        <w:t>р</w:t>
      </w:r>
      <w:r w:rsidR="00CB7894" w:rsidRPr="002134BE">
        <w:rPr>
          <w:rFonts w:ascii="Arial" w:hAnsi="Arial" w:cs="Arial"/>
          <w:sz w:val="20"/>
          <w:szCs w:val="20"/>
        </w:rPr>
        <w:t xml:space="preserve">гетика остро испытывает потребность в инвестициях. </w:t>
      </w:r>
      <w:r w:rsidRPr="002134BE">
        <w:rPr>
          <w:rFonts w:ascii="Arial" w:hAnsi="Arial" w:cs="Arial"/>
          <w:sz w:val="20"/>
          <w:szCs w:val="20"/>
        </w:rPr>
        <w:t>По подсчетам специалистов сегодня требуются капиталовложения на сумму свыше 20 миллиардов в год, чтобы только модернизировать электр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станции и сети электропередач. Если поставить также и цель увеличения генерирующих мощностей, эта цифра увеличится в несколько раз</w:t>
      </w:r>
      <w:r w:rsidR="00CB7894" w:rsidRPr="002134BE">
        <w:rPr>
          <w:rFonts w:ascii="Arial" w:hAnsi="Arial" w:cs="Arial"/>
          <w:sz w:val="20"/>
          <w:szCs w:val="20"/>
        </w:rPr>
        <w:t>.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Проблема совершенствования инвестиционного процесса при долгосрочном планировании развития электроэнергетики – это одна из приоритетных управленческих задач, решение которой требует системного подхода.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Энергетика отличается длительным периодом окупаемости вложенных инвестиций. Считае</w:t>
      </w:r>
      <w:r w:rsidRPr="002134BE">
        <w:rPr>
          <w:rFonts w:ascii="Arial" w:hAnsi="Arial" w:cs="Arial"/>
          <w:sz w:val="20"/>
          <w:szCs w:val="20"/>
        </w:rPr>
        <w:t>т</w:t>
      </w:r>
      <w:r w:rsidRPr="002134BE">
        <w:rPr>
          <w:rFonts w:ascii="Arial" w:hAnsi="Arial" w:cs="Arial"/>
          <w:sz w:val="20"/>
          <w:szCs w:val="20"/>
        </w:rPr>
        <w:t>ся, что примерный срок окупаемости масштабных энергетических проектов составляет в среднем от 5 до 30 лет в зависимости от мощности оборудования и финансовых возможностей рынка продаж эле</w:t>
      </w:r>
      <w:r w:rsidRPr="002134BE">
        <w:rPr>
          <w:rFonts w:ascii="Arial" w:hAnsi="Arial" w:cs="Arial"/>
          <w:sz w:val="20"/>
          <w:szCs w:val="20"/>
        </w:rPr>
        <w:t>к</w:t>
      </w:r>
      <w:r w:rsidRPr="002134BE">
        <w:rPr>
          <w:rFonts w:ascii="Arial" w:hAnsi="Arial" w:cs="Arial"/>
          <w:sz w:val="20"/>
          <w:szCs w:val="20"/>
        </w:rPr>
        <w:t xml:space="preserve">трической и тепловой энергии. Сейчас особенно важно, чтобы государственная политика была направлена на повышение инвестиционной привлекательности российской энергетики именно для частных капиталов. К числу приоритетных </w:t>
      </w:r>
      <w:proofErr w:type="gramStart"/>
      <w:r w:rsidRPr="002134BE">
        <w:rPr>
          <w:rFonts w:ascii="Arial" w:hAnsi="Arial" w:cs="Arial"/>
          <w:sz w:val="20"/>
          <w:szCs w:val="20"/>
        </w:rPr>
        <w:t>мер</w:t>
      </w:r>
      <w:proofErr w:type="gramEnd"/>
      <w:r w:rsidRPr="002134BE">
        <w:rPr>
          <w:rFonts w:ascii="Arial" w:hAnsi="Arial" w:cs="Arial"/>
          <w:sz w:val="20"/>
          <w:szCs w:val="20"/>
        </w:rPr>
        <w:t xml:space="preserve"> эксперты отрасли относят налоговые льготы для вл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жений в создание новых генерирующих мощностей, предоставление государством гарантий по льго</w:t>
      </w:r>
      <w:r w:rsidRPr="002134BE">
        <w:rPr>
          <w:rFonts w:ascii="Arial" w:hAnsi="Arial" w:cs="Arial"/>
          <w:sz w:val="20"/>
          <w:szCs w:val="20"/>
        </w:rPr>
        <w:t>т</w:t>
      </w:r>
      <w:r w:rsidRPr="002134BE">
        <w:rPr>
          <w:rFonts w:ascii="Arial" w:hAnsi="Arial" w:cs="Arial"/>
          <w:sz w:val="20"/>
          <w:szCs w:val="20"/>
        </w:rPr>
        <w:t>ным кредитам на развитие энергетического комплекса и упорядочивание законов и нормативных а</w:t>
      </w:r>
      <w:r w:rsidRPr="002134BE">
        <w:rPr>
          <w:rFonts w:ascii="Arial" w:hAnsi="Arial" w:cs="Arial"/>
          <w:sz w:val="20"/>
          <w:szCs w:val="20"/>
        </w:rPr>
        <w:t>к</w:t>
      </w:r>
      <w:r w:rsidRPr="002134BE">
        <w:rPr>
          <w:rFonts w:ascii="Arial" w:hAnsi="Arial" w:cs="Arial"/>
          <w:sz w:val="20"/>
          <w:szCs w:val="20"/>
        </w:rPr>
        <w:t>тов.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В настоящий момент недостаточный объем инвестиций связан с рядом факторов и особенн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стей функционирования топливно-энергетического комплекса. К факторам, снижающим приток р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 xml:space="preserve">альных инвестиций, можно отнести </w:t>
      </w:r>
      <w:proofErr w:type="gramStart"/>
      <w:r w:rsidRPr="002134BE">
        <w:rPr>
          <w:rFonts w:ascii="Arial" w:hAnsi="Arial" w:cs="Arial"/>
          <w:sz w:val="20"/>
          <w:szCs w:val="20"/>
        </w:rPr>
        <w:t>следующие</w:t>
      </w:r>
      <w:proofErr w:type="gramEnd"/>
      <w:r w:rsidRPr="002134BE">
        <w:rPr>
          <w:rFonts w:ascii="Arial" w:hAnsi="Arial" w:cs="Arial"/>
          <w:sz w:val="20"/>
          <w:szCs w:val="20"/>
        </w:rPr>
        <w:t xml:space="preserve">: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недостаточное или в некоторых случаях отсутствующее бюджетное финансирование, без которого развитие комплекса достаточно сильно сдерживается;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высокие издержки производства;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нерациональная налоговая политика;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плохая институционная структура комплекса;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низкая эффективность государственного регулирования;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− направленность на добычу полезных ископаемых; 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 недостаточная по современным меркам глубина переработки нефти</w:t>
      </w:r>
      <w:proofErr w:type="gramStart"/>
      <w:r w:rsidR="00DA723C" w:rsidRPr="002134BE">
        <w:rPr>
          <w:rFonts w:ascii="Arial" w:hAnsi="Arial" w:cs="Arial"/>
          <w:sz w:val="20"/>
          <w:szCs w:val="20"/>
        </w:rPr>
        <w:t>..</w:t>
      </w:r>
      <w:proofErr w:type="gramEnd"/>
    </w:p>
    <w:p w:rsidR="00312548" w:rsidRPr="002134BE" w:rsidRDefault="00CE060F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Для</w:t>
      </w:r>
      <w:r w:rsidR="00312548" w:rsidRPr="002134BE">
        <w:rPr>
          <w:rFonts w:ascii="Arial" w:hAnsi="Arial" w:cs="Arial"/>
          <w:sz w:val="20"/>
          <w:szCs w:val="20"/>
        </w:rPr>
        <w:t xml:space="preserve"> определения соотношения источников инвестиций: для каждого типа энергетических ко</w:t>
      </w:r>
      <w:r w:rsidR="00312548" w:rsidRPr="002134BE">
        <w:rPr>
          <w:rFonts w:ascii="Arial" w:hAnsi="Arial" w:cs="Arial"/>
          <w:sz w:val="20"/>
          <w:szCs w:val="20"/>
        </w:rPr>
        <w:t>м</w:t>
      </w:r>
      <w:r w:rsidR="00312548" w:rsidRPr="002134BE">
        <w:rPr>
          <w:rFonts w:ascii="Arial" w:hAnsi="Arial" w:cs="Arial"/>
          <w:sz w:val="20"/>
          <w:szCs w:val="20"/>
        </w:rPr>
        <w:t>паний используются варианты источников инвестиций, соответствующие их структуре собственности в целевой модели и виду бизнеса.</w:t>
      </w:r>
    </w:p>
    <w:p w:rsidR="00312548" w:rsidRPr="002134BE" w:rsidRDefault="00312548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Основной чертой предложенного распределения по источникам финансирования является распределение инвестиционных рисков между государством и частными инвесторами, при котором государство концентрирует свои усилия на системообразующих компаниях (ФСК, СО </w:t>
      </w:r>
      <w:proofErr w:type="spellStart"/>
      <w:r w:rsidRPr="002134BE">
        <w:rPr>
          <w:rFonts w:ascii="Arial" w:hAnsi="Arial" w:cs="Arial"/>
          <w:sz w:val="20"/>
          <w:szCs w:val="20"/>
        </w:rPr>
        <w:t>ГидроОГК</w:t>
      </w:r>
      <w:proofErr w:type="spellEnd"/>
      <w:r w:rsidRPr="002134BE">
        <w:rPr>
          <w:rFonts w:ascii="Arial" w:hAnsi="Arial" w:cs="Arial"/>
          <w:sz w:val="20"/>
          <w:szCs w:val="20"/>
        </w:rPr>
        <w:t>, "Ро</w:t>
      </w:r>
      <w:r w:rsidRPr="002134BE">
        <w:rPr>
          <w:rFonts w:ascii="Arial" w:hAnsi="Arial" w:cs="Arial"/>
          <w:sz w:val="20"/>
          <w:szCs w:val="20"/>
        </w:rPr>
        <w:t>с</w:t>
      </w:r>
      <w:r w:rsidRPr="002134BE">
        <w:rPr>
          <w:rFonts w:ascii="Arial" w:hAnsi="Arial" w:cs="Arial"/>
          <w:sz w:val="20"/>
          <w:szCs w:val="20"/>
        </w:rPr>
        <w:t>энергоатом"), в то время как частные вложения являются основным источником финансирования для тепловых электростанций.</w:t>
      </w:r>
    </w:p>
    <w:p w:rsidR="00312548" w:rsidRPr="002134BE" w:rsidRDefault="00312548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Таким образом, главными источниками привлечения средств будут:</w:t>
      </w:r>
    </w:p>
    <w:p w:rsidR="00717F0A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собственные средства (амортизация, прибыль, тарифы);</w:t>
      </w:r>
    </w:p>
    <w:p w:rsidR="00312548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долговое финансирование;</w:t>
      </w:r>
    </w:p>
    <w:p w:rsidR="00312548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частные инвестиции (дополнительная эмиссия акций - IPO, SPO, привлечение стратегич</w:t>
      </w:r>
      <w:r w:rsidR="00312548" w:rsidRPr="002134BE">
        <w:rPr>
          <w:rFonts w:ascii="Arial" w:hAnsi="Arial" w:cs="Arial"/>
          <w:sz w:val="20"/>
          <w:szCs w:val="20"/>
        </w:rPr>
        <w:t>е</w:t>
      </w:r>
      <w:r w:rsidR="00312548" w:rsidRPr="002134BE">
        <w:rPr>
          <w:rFonts w:ascii="Arial" w:hAnsi="Arial" w:cs="Arial"/>
          <w:sz w:val="20"/>
          <w:szCs w:val="20"/>
        </w:rPr>
        <w:t>ских инвесторов);</w:t>
      </w:r>
    </w:p>
    <w:p w:rsidR="00312548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государственно-частное инвестирование;</w:t>
      </w:r>
    </w:p>
    <w:p w:rsidR="00312548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федеральный бюджет;</w:t>
      </w:r>
    </w:p>
    <w:p w:rsidR="009816D8" w:rsidRPr="002134BE" w:rsidRDefault="00717F0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−</w:t>
      </w:r>
      <w:r w:rsidR="00312548" w:rsidRPr="002134BE">
        <w:rPr>
          <w:rFonts w:ascii="Arial" w:hAnsi="Arial" w:cs="Arial"/>
          <w:sz w:val="20"/>
          <w:szCs w:val="20"/>
        </w:rPr>
        <w:t xml:space="preserve"> региональные источники</w:t>
      </w:r>
      <w:r w:rsidR="00DA723C" w:rsidRPr="002134BE">
        <w:rPr>
          <w:rFonts w:ascii="Arial" w:hAnsi="Arial" w:cs="Arial"/>
          <w:sz w:val="20"/>
          <w:szCs w:val="20"/>
        </w:rPr>
        <w:t>.</w:t>
      </w:r>
    </w:p>
    <w:p w:rsidR="009501D5" w:rsidRPr="002134BE" w:rsidRDefault="009501D5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Россия также заинтересована в иностранных частных инвесторах. Для иностранцев на нашем рынке все еще существует много рисков, что останавливает многих желающих вложить свои деньги.</w:t>
      </w:r>
      <w:r w:rsidR="0077721D" w:rsidRPr="002134BE">
        <w:rPr>
          <w:rFonts w:ascii="Arial" w:hAnsi="Arial" w:cs="Arial"/>
          <w:sz w:val="20"/>
          <w:szCs w:val="20"/>
        </w:rPr>
        <w:t xml:space="preserve"> Довольно перспективным также являются и способы государственно-частного инвестирования. Эти два заведомо не выгодных по отдельности направления в синтезе стали крепкой базой для развития энергетической инфраструктуры Сибири.  </w:t>
      </w:r>
    </w:p>
    <w:p w:rsidR="001A757B" w:rsidRPr="002134BE" w:rsidRDefault="001A757B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Существует еще ряд дополнительных возможностей </w:t>
      </w:r>
      <w:r w:rsidR="00DA723C" w:rsidRPr="002134BE">
        <w:rPr>
          <w:rFonts w:ascii="Arial" w:hAnsi="Arial" w:cs="Arial"/>
          <w:sz w:val="20"/>
          <w:szCs w:val="20"/>
        </w:rPr>
        <w:t>–</w:t>
      </w:r>
      <w:r w:rsidRPr="002134BE">
        <w:rPr>
          <w:rFonts w:ascii="Arial" w:hAnsi="Arial" w:cs="Arial"/>
          <w:sz w:val="20"/>
          <w:szCs w:val="20"/>
        </w:rPr>
        <w:t xml:space="preserve"> привлечения денежных средств в эне</w:t>
      </w:r>
      <w:r w:rsidRPr="002134BE">
        <w:rPr>
          <w:rFonts w:ascii="Arial" w:hAnsi="Arial" w:cs="Arial"/>
          <w:sz w:val="20"/>
          <w:szCs w:val="20"/>
        </w:rPr>
        <w:t>р</w:t>
      </w:r>
      <w:r w:rsidRPr="002134BE">
        <w:rPr>
          <w:rFonts w:ascii="Arial" w:hAnsi="Arial" w:cs="Arial"/>
          <w:sz w:val="20"/>
          <w:szCs w:val="20"/>
        </w:rPr>
        <w:t>гетику, например, выпуск дополнительных акций. В настоящее время это, пожалуй, один из распр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страненных. Однако в российской практике среди акционеров нередко возникают проблемные ситу</w:t>
      </w:r>
      <w:r w:rsidRPr="002134BE">
        <w:rPr>
          <w:rFonts w:ascii="Arial" w:hAnsi="Arial" w:cs="Arial"/>
          <w:sz w:val="20"/>
          <w:szCs w:val="20"/>
        </w:rPr>
        <w:t>а</w:t>
      </w:r>
      <w:r w:rsidRPr="002134BE">
        <w:rPr>
          <w:rFonts w:ascii="Arial" w:hAnsi="Arial" w:cs="Arial"/>
          <w:sz w:val="20"/>
          <w:szCs w:val="20"/>
        </w:rPr>
        <w:t>ции, связанные с выпуском дополнительных акций. Лизинговые схемы финансирования, которые се</w:t>
      </w:r>
      <w:r w:rsidRPr="002134BE">
        <w:rPr>
          <w:rFonts w:ascii="Arial" w:hAnsi="Arial" w:cs="Arial"/>
          <w:sz w:val="20"/>
          <w:szCs w:val="20"/>
        </w:rPr>
        <w:t>й</w:t>
      </w:r>
      <w:r w:rsidRPr="002134BE">
        <w:rPr>
          <w:rFonts w:ascii="Arial" w:hAnsi="Arial" w:cs="Arial"/>
          <w:sz w:val="20"/>
          <w:szCs w:val="20"/>
        </w:rPr>
        <w:t>час наиболее приемлемы во многих отраслях промышленности, в энергетической отрасли совсем себя не оправдывают.</w:t>
      </w:r>
    </w:p>
    <w:p w:rsidR="002330A5" w:rsidRPr="002134BE" w:rsidRDefault="002330A5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Конкурентными преимуществами при размещении, способными повысить интерес инвесторов, на которые стоит обращать внимание при принятии решений о вложении средств в энергокомпании, являются: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lastRenderedPageBreak/>
        <w:t>эффективность работы станций;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топливный баланс;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ро</w:t>
      </w:r>
      <w:proofErr w:type="gramStart"/>
      <w:r w:rsidRPr="002134BE">
        <w:rPr>
          <w:rFonts w:ascii="Arial" w:hAnsi="Arial" w:cs="Arial"/>
          <w:sz w:val="20"/>
          <w:szCs w:val="20"/>
        </w:rPr>
        <w:t>ст спр</w:t>
      </w:r>
      <w:proofErr w:type="gramEnd"/>
      <w:r w:rsidRPr="002134BE">
        <w:rPr>
          <w:rFonts w:ascii="Arial" w:hAnsi="Arial" w:cs="Arial"/>
          <w:sz w:val="20"/>
          <w:szCs w:val="20"/>
        </w:rPr>
        <w:t>оса на энергию в регионах потребления;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либерализация рынка электроэнергии;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стратегическая выгодность расположения активов;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привлекательность инвестиционных проектов;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опыт руководства;</w:t>
      </w:r>
    </w:p>
    <w:p w:rsidR="002330A5" w:rsidRPr="002134BE" w:rsidRDefault="002330A5" w:rsidP="001B1FD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современность системы управления и прозрачность.</w:t>
      </w:r>
    </w:p>
    <w:p w:rsidR="002330A5" w:rsidRPr="002134BE" w:rsidRDefault="002330A5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Самым важным для инвесторов показателем в работе энергетической компании является структура ее топливного баланса: это напрямую связано с ее эффективностью и затратами на ген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рацию энергии. Изменение цен на углеводороды происходит непропорционально и при неизменной структуре топливного баланса может приводить к значительным колебаниям в издержках, предоста</w:t>
      </w:r>
      <w:r w:rsidRPr="002134BE">
        <w:rPr>
          <w:rFonts w:ascii="Arial" w:hAnsi="Arial" w:cs="Arial"/>
          <w:sz w:val="20"/>
          <w:szCs w:val="20"/>
        </w:rPr>
        <w:t>в</w:t>
      </w:r>
      <w:r w:rsidRPr="002134BE">
        <w:rPr>
          <w:rFonts w:ascii="Arial" w:hAnsi="Arial" w:cs="Arial"/>
          <w:sz w:val="20"/>
          <w:szCs w:val="20"/>
        </w:rPr>
        <w:t xml:space="preserve">ляя или, наоборот, лишая конкурентных преимуществ. Именно поэтому данная информация является </w:t>
      </w:r>
      <w:proofErr w:type="gramStart"/>
      <w:r w:rsidRPr="002134BE">
        <w:rPr>
          <w:rFonts w:ascii="Arial" w:hAnsi="Arial" w:cs="Arial"/>
          <w:sz w:val="20"/>
          <w:szCs w:val="20"/>
        </w:rPr>
        <w:t>достаточно конфиденциальной</w:t>
      </w:r>
      <w:proofErr w:type="gramEnd"/>
      <w:r w:rsidRPr="002134BE">
        <w:rPr>
          <w:rFonts w:ascii="Arial" w:hAnsi="Arial" w:cs="Arial"/>
          <w:sz w:val="20"/>
          <w:szCs w:val="20"/>
        </w:rPr>
        <w:t>.</w:t>
      </w:r>
    </w:p>
    <w:p w:rsidR="00A361B7" w:rsidRPr="002134BE" w:rsidRDefault="00A361B7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Механизм привлечения внешних инвестиций должен быть понятен в первую очередь страт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 xml:space="preserve">гическому инвестору, а для этого </w:t>
      </w:r>
      <w:r w:rsidR="00DA723C" w:rsidRPr="002134BE">
        <w:rPr>
          <w:rFonts w:ascii="Arial" w:hAnsi="Arial" w:cs="Arial"/>
          <w:sz w:val="20"/>
          <w:szCs w:val="20"/>
        </w:rPr>
        <w:t>нужно</w:t>
      </w:r>
      <w:r w:rsidRPr="002134BE">
        <w:rPr>
          <w:rFonts w:ascii="Arial" w:hAnsi="Arial" w:cs="Arial"/>
          <w:sz w:val="20"/>
          <w:szCs w:val="20"/>
        </w:rPr>
        <w:t xml:space="preserve"> создать не только благоприятные финансовые условия, </w:t>
      </w:r>
      <w:r w:rsidR="00DA723C" w:rsidRPr="002134BE">
        <w:rPr>
          <w:rFonts w:ascii="Arial" w:hAnsi="Arial" w:cs="Arial"/>
          <w:sz w:val="20"/>
          <w:szCs w:val="20"/>
        </w:rPr>
        <w:t>необходимо</w:t>
      </w:r>
      <w:r w:rsidRPr="002134BE">
        <w:rPr>
          <w:rFonts w:ascii="Arial" w:hAnsi="Arial" w:cs="Arial"/>
          <w:sz w:val="20"/>
          <w:szCs w:val="20"/>
        </w:rPr>
        <w:t xml:space="preserve">: 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разъяснить механизм участия инвестора в управлении энергетическими объектами;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прописать государственные гарантии по обеспечению эффективности инвестиций;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принять нормативно</w:t>
      </w:r>
      <w:r w:rsidR="00DA723C" w:rsidRPr="002134BE">
        <w:rPr>
          <w:rFonts w:ascii="Arial" w:hAnsi="Arial" w:cs="Arial"/>
          <w:sz w:val="20"/>
          <w:szCs w:val="20"/>
        </w:rPr>
        <w:t>-</w:t>
      </w:r>
      <w:r w:rsidRPr="002134BE">
        <w:rPr>
          <w:rFonts w:ascii="Arial" w:hAnsi="Arial" w:cs="Arial"/>
          <w:sz w:val="20"/>
          <w:szCs w:val="20"/>
        </w:rPr>
        <w:t>правовые акты по методическому обеспечению возврата инвестиций;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ужесточить контроль использования инвестиционных ресурсов;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вести более “прозрачную» систему бухгалтерского учета;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создать специализированный институт оценки энергетических инвестиционных проектов; </w:t>
      </w:r>
    </w:p>
    <w:p w:rsidR="00A361B7" w:rsidRPr="002134BE" w:rsidRDefault="00A361B7" w:rsidP="001B1F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организовать единую базу данных проектов, и т.</w:t>
      </w:r>
      <w:r w:rsidR="00DA723C" w:rsidRPr="002134BE">
        <w:rPr>
          <w:rFonts w:ascii="Arial" w:hAnsi="Arial" w:cs="Arial"/>
          <w:sz w:val="20"/>
          <w:szCs w:val="20"/>
        </w:rPr>
        <w:t xml:space="preserve"> </w:t>
      </w:r>
      <w:r w:rsidRPr="002134BE">
        <w:rPr>
          <w:rFonts w:ascii="Arial" w:hAnsi="Arial" w:cs="Arial"/>
          <w:sz w:val="20"/>
          <w:szCs w:val="20"/>
        </w:rPr>
        <w:t>д</w:t>
      </w:r>
      <w:r w:rsidR="00DA723C" w:rsidRPr="002134BE">
        <w:rPr>
          <w:rFonts w:ascii="Arial" w:hAnsi="Arial" w:cs="Arial"/>
          <w:sz w:val="20"/>
          <w:szCs w:val="20"/>
        </w:rPr>
        <w:t>.</w:t>
      </w:r>
    </w:p>
    <w:p w:rsidR="00796B65" w:rsidRPr="002134BE" w:rsidRDefault="00796B65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Для оценки эффективности капитальных вложений в инновационное строительство или р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конструкцию электростанций предполагается учет изменения как внешних, так и внутренних факт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>ров, большинство из которых связаны с неопределенностью. Это норматив дисконтирования, начал</w:t>
      </w:r>
      <w:r w:rsidRPr="002134BE">
        <w:rPr>
          <w:rFonts w:ascii="Arial" w:hAnsi="Arial" w:cs="Arial"/>
          <w:sz w:val="20"/>
          <w:szCs w:val="20"/>
        </w:rPr>
        <w:t>ь</w:t>
      </w:r>
      <w:r w:rsidRPr="002134BE">
        <w:rPr>
          <w:rFonts w:ascii="Arial" w:hAnsi="Arial" w:cs="Arial"/>
          <w:sz w:val="20"/>
          <w:szCs w:val="20"/>
        </w:rPr>
        <w:t>ные капиталовложения, цена топлива, издержки производства, инфляция, уровень энергопотребл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 xml:space="preserve">ния и другие.  </w:t>
      </w:r>
    </w:p>
    <w:p w:rsidR="00856E01" w:rsidRPr="002134BE" w:rsidRDefault="00CE060F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>Как правило, каждое энергетическое предприятие планирует в рассматриваемом периоде р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>ализацию не одного, а нескольких инвестиционных проектов. Для определения эффекта (например, финансового результата, денежного потока) от реализации каждого инвестиционного проекта в ра</w:t>
      </w:r>
      <w:r w:rsidRPr="002134BE">
        <w:rPr>
          <w:rFonts w:ascii="Arial" w:hAnsi="Arial" w:cs="Arial"/>
          <w:sz w:val="20"/>
          <w:szCs w:val="20"/>
        </w:rPr>
        <w:t>с</w:t>
      </w:r>
      <w:r w:rsidRPr="002134BE">
        <w:rPr>
          <w:rFonts w:ascii="Arial" w:hAnsi="Arial" w:cs="Arial"/>
          <w:sz w:val="20"/>
          <w:szCs w:val="20"/>
        </w:rPr>
        <w:t>сматриваемый временной период применяется сравнительный анализ вариантов работы предпри</w:t>
      </w:r>
      <w:r w:rsidRPr="002134BE">
        <w:rPr>
          <w:rFonts w:ascii="Arial" w:hAnsi="Arial" w:cs="Arial"/>
          <w:sz w:val="20"/>
          <w:szCs w:val="20"/>
        </w:rPr>
        <w:t>я</w:t>
      </w:r>
      <w:r w:rsidRPr="002134BE">
        <w:rPr>
          <w:rFonts w:ascii="Arial" w:hAnsi="Arial" w:cs="Arial"/>
          <w:sz w:val="20"/>
          <w:szCs w:val="20"/>
        </w:rPr>
        <w:t>тия в целом после сдачи в эксплуатацию объекта инвестирования. Вывод о целесообразности инв</w:t>
      </w:r>
      <w:r w:rsidRPr="002134BE">
        <w:rPr>
          <w:rFonts w:ascii="Arial" w:hAnsi="Arial" w:cs="Arial"/>
          <w:sz w:val="20"/>
          <w:szCs w:val="20"/>
        </w:rPr>
        <w:t>е</w:t>
      </w:r>
      <w:r w:rsidRPr="002134BE">
        <w:rPr>
          <w:rFonts w:ascii="Arial" w:hAnsi="Arial" w:cs="Arial"/>
          <w:sz w:val="20"/>
          <w:szCs w:val="20"/>
        </w:rPr>
        <w:t xml:space="preserve">стирования проводится по классическим параметрам </w:t>
      </w:r>
      <w:r w:rsidR="00DA723C" w:rsidRPr="002134BE">
        <w:rPr>
          <w:rFonts w:ascii="Arial" w:hAnsi="Arial" w:cs="Arial"/>
          <w:sz w:val="20"/>
          <w:szCs w:val="20"/>
        </w:rPr>
        <w:t>–</w:t>
      </w:r>
      <w:r w:rsidRPr="002134BE">
        <w:rPr>
          <w:rFonts w:ascii="Arial" w:hAnsi="Arial" w:cs="Arial"/>
          <w:sz w:val="20"/>
          <w:szCs w:val="20"/>
        </w:rPr>
        <w:t xml:space="preserve"> в результате расчета NPV, IRR, простого и дисконтируемого сроков окупаемости. Эффективность инвестиционной программы предприятия, с</w:t>
      </w:r>
      <w:r w:rsidRPr="002134BE">
        <w:rPr>
          <w:rFonts w:ascii="Arial" w:hAnsi="Arial" w:cs="Arial"/>
          <w:sz w:val="20"/>
          <w:szCs w:val="20"/>
        </w:rPr>
        <w:t>о</w:t>
      </w:r>
      <w:r w:rsidRPr="002134BE">
        <w:rPr>
          <w:rFonts w:ascii="Arial" w:hAnsi="Arial" w:cs="Arial"/>
          <w:sz w:val="20"/>
          <w:szCs w:val="20"/>
        </w:rPr>
        <w:t xml:space="preserve">стоящей из нескольких инвестиционных проектов, рассматривается как сумма эффектов от каждого проекта.  </w:t>
      </w:r>
      <w:r w:rsidR="00796B65" w:rsidRPr="002134BE">
        <w:rPr>
          <w:rFonts w:ascii="Arial" w:hAnsi="Arial" w:cs="Arial"/>
          <w:sz w:val="20"/>
          <w:szCs w:val="20"/>
        </w:rPr>
        <w:t xml:space="preserve">Однако только экономической оценки эффективности </w:t>
      </w:r>
      <w:r w:rsidR="003F6891" w:rsidRPr="002134BE">
        <w:rPr>
          <w:rFonts w:ascii="Arial" w:hAnsi="Arial" w:cs="Arial"/>
          <w:sz w:val="20"/>
          <w:szCs w:val="20"/>
        </w:rPr>
        <w:t>явно недоста</w:t>
      </w:r>
      <w:r w:rsidR="00FF3BCB" w:rsidRPr="002134BE">
        <w:rPr>
          <w:rFonts w:ascii="Arial" w:hAnsi="Arial" w:cs="Arial"/>
          <w:sz w:val="20"/>
          <w:szCs w:val="20"/>
        </w:rPr>
        <w:t>точно для получения д</w:t>
      </w:r>
      <w:r w:rsidR="00FF3BCB" w:rsidRPr="002134BE">
        <w:rPr>
          <w:rFonts w:ascii="Arial" w:hAnsi="Arial" w:cs="Arial"/>
          <w:sz w:val="20"/>
          <w:szCs w:val="20"/>
        </w:rPr>
        <w:t>о</w:t>
      </w:r>
      <w:r w:rsidR="00FF3BCB" w:rsidRPr="002134BE">
        <w:rPr>
          <w:rFonts w:ascii="Arial" w:hAnsi="Arial" w:cs="Arial"/>
          <w:sz w:val="20"/>
          <w:szCs w:val="20"/>
        </w:rPr>
        <w:t>стоверных</w:t>
      </w:r>
      <w:r w:rsidR="003F6891" w:rsidRPr="002134BE">
        <w:rPr>
          <w:rFonts w:ascii="Arial" w:hAnsi="Arial" w:cs="Arial"/>
          <w:sz w:val="20"/>
          <w:szCs w:val="20"/>
        </w:rPr>
        <w:t xml:space="preserve"> сведений о том, насколько принимаемый проект будет соответствовать ожидаемым п</w:t>
      </w:r>
      <w:r w:rsidR="003F6891" w:rsidRPr="002134BE">
        <w:rPr>
          <w:rFonts w:ascii="Arial" w:hAnsi="Arial" w:cs="Arial"/>
          <w:sz w:val="20"/>
          <w:szCs w:val="20"/>
        </w:rPr>
        <w:t>о</w:t>
      </w:r>
      <w:r w:rsidR="003F6891" w:rsidRPr="002134BE">
        <w:rPr>
          <w:rFonts w:ascii="Arial" w:hAnsi="Arial" w:cs="Arial"/>
          <w:sz w:val="20"/>
          <w:szCs w:val="20"/>
        </w:rPr>
        <w:t>требностям инвестора и других субъектах инвестирования, а также какое действие окажет реализу</w:t>
      </w:r>
      <w:r w:rsidR="003F6891" w:rsidRPr="002134BE">
        <w:rPr>
          <w:rFonts w:ascii="Arial" w:hAnsi="Arial" w:cs="Arial"/>
          <w:sz w:val="20"/>
          <w:szCs w:val="20"/>
        </w:rPr>
        <w:t>е</w:t>
      </w:r>
      <w:r w:rsidR="003F6891" w:rsidRPr="002134BE">
        <w:rPr>
          <w:rFonts w:ascii="Arial" w:hAnsi="Arial" w:cs="Arial"/>
          <w:sz w:val="20"/>
          <w:szCs w:val="20"/>
        </w:rPr>
        <w:t>мый проект на социально-экономическую и экологическую среду региона и на само предприятие. Оценка воздействия вышеуказанных факторов должна учитываться на этапе составления бизнес плана и при анализе его реализации.</w:t>
      </w:r>
      <w:r w:rsidR="00FF3BCB" w:rsidRPr="002134BE">
        <w:rPr>
          <w:rFonts w:ascii="Arial" w:hAnsi="Arial" w:cs="Arial"/>
          <w:sz w:val="20"/>
          <w:szCs w:val="20"/>
        </w:rPr>
        <w:t xml:space="preserve"> Это позволит усовершенствовать процесс разработки инвест</w:t>
      </w:r>
      <w:r w:rsidR="00FF3BCB" w:rsidRPr="002134BE">
        <w:rPr>
          <w:rFonts w:ascii="Arial" w:hAnsi="Arial" w:cs="Arial"/>
          <w:sz w:val="20"/>
          <w:szCs w:val="20"/>
        </w:rPr>
        <w:t>и</w:t>
      </w:r>
      <w:r w:rsidR="00FF3BCB" w:rsidRPr="002134BE">
        <w:rPr>
          <w:rFonts w:ascii="Arial" w:hAnsi="Arial" w:cs="Arial"/>
          <w:sz w:val="20"/>
          <w:szCs w:val="20"/>
        </w:rPr>
        <w:t>ционного проекта и выбрать альтернативные варианты.</w:t>
      </w:r>
    </w:p>
    <w:p w:rsidR="00D1224C" w:rsidRPr="002134BE" w:rsidRDefault="00FF3BCB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 </w:t>
      </w:r>
      <w:r w:rsidR="00856E01" w:rsidRPr="002134BE">
        <w:rPr>
          <w:rFonts w:ascii="Arial" w:hAnsi="Arial" w:cs="Arial"/>
          <w:sz w:val="20"/>
          <w:szCs w:val="20"/>
        </w:rPr>
        <w:t>Таким образом, в качестве общего вывода следует заключить, что энергетический бизнес, весьма престижный в любой стране, в то же время характеризуется высокой сложностью, социальной ответственностью и рискованностью во многих аспектах. Известно, что энергетические объекты изн</w:t>
      </w:r>
      <w:r w:rsidR="00856E01" w:rsidRPr="002134BE">
        <w:rPr>
          <w:rFonts w:ascii="Arial" w:hAnsi="Arial" w:cs="Arial"/>
          <w:sz w:val="20"/>
          <w:szCs w:val="20"/>
        </w:rPr>
        <w:t>а</w:t>
      </w:r>
      <w:r w:rsidR="00856E01" w:rsidRPr="002134BE">
        <w:rPr>
          <w:rFonts w:ascii="Arial" w:hAnsi="Arial" w:cs="Arial"/>
          <w:sz w:val="20"/>
          <w:szCs w:val="20"/>
        </w:rPr>
        <w:t xml:space="preserve">чально являются особо капиталоемкими, </w:t>
      </w:r>
      <w:proofErr w:type="spellStart"/>
      <w:r w:rsidR="00856E01" w:rsidRPr="002134BE">
        <w:rPr>
          <w:rFonts w:ascii="Arial" w:hAnsi="Arial" w:cs="Arial"/>
          <w:sz w:val="20"/>
          <w:szCs w:val="20"/>
        </w:rPr>
        <w:t>ремонтоемкими</w:t>
      </w:r>
      <w:proofErr w:type="spellEnd"/>
      <w:r w:rsidR="00856E01" w:rsidRPr="002134BE">
        <w:rPr>
          <w:rFonts w:ascii="Arial" w:hAnsi="Arial" w:cs="Arial"/>
          <w:sz w:val="20"/>
          <w:szCs w:val="20"/>
        </w:rPr>
        <w:t>, а инвестиции в энергетику имеют относ</w:t>
      </w:r>
      <w:r w:rsidR="00856E01" w:rsidRPr="002134BE">
        <w:rPr>
          <w:rFonts w:ascii="Arial" w:hAnsi="Arial" w:cs="Arial"/>
          <w:sz w:val="20"/>
          <w:szCs w:val="20"/>
        </w:rPr>
        <w:t>и</w:t>
      </w:r>
      <w:r w:rsidR="00856E01" w:rsidRPr="002134BE">
        <w:rPr>
          <w:rFonts w:ascii="Arial" w:hAnsi="Arial" w:cs="Arial"/>
          <w:sz w:val="20"/>
          <w:szCs w:val="20"/>
        </w:rPr>
        <w:t>тельно длительные сроки оку</w:t>
      </w:r>
      <w:r w:rsidR="00856E01" w:rsidRPr="002134BE">
        <w:rPr>
          <w:rFonts w:ascii="Arial" w:hAnsi="Arial" w:cs="Arial"/>
          <w:sz w:val="20"/>
          <w:szCs w:val="20"/>
        </w:rPr>
        <w:softHyphen/>
        <w:t>паемости. Причем в этой отрасли всегда будет весьма неблаго</w:t>
      </w:r>
      <w:r w:rsidR="00856E01" w:rsidRPr="002134BE">
        <w:rPr>
          <w:rFonts w:ascii="Arial" w:hAnsi="Arial" w:cs="Arial"/>
          <w:sz w:val="20"/>
          <w:szCs w:val="20"/>
        </w:rPr>
        <w:softHyphen/>
        <w:t>приятное для инвесторов соотношение между продажной ценой ресурса, например, электроэнергии и стоим</w:t>
      </w:r>
      <w:r w:rsidR="00856E01" w:rsidRPr="002134BE">
        <w:rPr>
          <w:rFonts w:ascii="Arial" w:hAnsi="Arial" w:cs="Arial"/>
          <w:sz w:val="20"/>
          <w:szCs w:val="20"/>
        </w:rPr>
        <w:t>о</w:t>
      </w:r>
      <w:r w:rsidR="00856E01" w:rsidRPr="002134BE">
        <w:rPr>
          <w:rFonts w:ascii="Arial" w:hAnsi="Arial" w:cs="Arial"/>
          <w:sz w:val="20"/>
          <w:szCs w:val="20"/>
        </w:rPr>
        <w:t>стью основного капитала. Положение усугубляется, когда эти факторы проецируются на российскую действительность: высокий физический износ основного капи</w:t>
      </w:r>
      <w:r w:rsidR="00856E01" w:rsidRPr="002134BE">
        <w:rPr>
          <w:rFonts w:ascii="Arial" w:hAnsi="Arial" w:cs="Arial"/>
          <w:sz w:val="20"/>
          <w:szCs w:val="20"/>
        </w:rPr>
        <w:softHyphen/>
        <w:t>тала и низкий технико-экономический уровень производствен</w:t>
      </w:r>
      <w:r w:rsidR="00856E01" w:rsidRPr="002134BE">
        <w:rPr>
          <w:rFonts w:ascii="Arial" w:hAnsi="Arial" w:cs="Arial"/>
          <w:sz w:val="20"/>
          <w:szCs w:val="20"/>
        </w:rPr>
        <w:softHyphen/>
        <w:t>ного аппарата</w:t>
      </w:r>
      <w:r w:rsidR="006555BA" w:rsidRPr="002134BE">
        <w:rPr>
          <w:rFonts w:ascii="Arial" w:hAnsi="Arial" w:cs="Arial"/>
          <w:sz w:val="20"/>
          <w:szCs w:val="20"/>
        </w:rPr>
        <w:t>. Кроме того важна</w:t>
      </w:r>
      <w:r w:rsidRPr="002134BE">
        <w:rPr>
          <w:rFonts w:ascii="Arial" w:hAnsi="Arial" w:cs="Arial"/>
          <w:sz w:val="20"/>
          <w:szCs w:val="20"/>
        </w:rPr>
        <w:t xml:space="preserve"> </w:t>
      </w:r>
      <w:r w:rsidR="006555BA" w:rsidRPr="002134BE">
        <w:rPr>
          <w:rFonts w:ascii="Arial" w:hAnsi="Arial" w:cs="Arial"/>
          <w:sz w:val="20"/>
          <w:szCs w:val="20"/>
        </w:rPr>
        <w:t>разработка методики оценки эффективности инновационных проектов, учитывающей особенности энергетической отрасли, позволяющей наиб</w:t>
      </w:r>
      <w:r w:rsidR="006555BA" w:rsidRPr="002134BE">
        <w:rPr>
          <w:rFonts w:ascii="Arial" w:hAnsi="Arial" w:cs="Arial"/>
          <w:sz w:val="20"/>
          <w:szCs w:val="20"/>
        </w:rPr>
        <w:t>о</w:t>
      </w:r>
      <w:r w:rsidR="006555BA" w:rsidRPr="002134BE">
        <w:rPr>
          <w:rFonts w:ascii="Arial" w:hAnsi="Arial" w:cs="Arial"/>
          <w:sz w:val="20"/>
          <w:szCs w:val="20"/>
        </w:rPr>
        <w:t>лее оптимально планировать инвестиции в отрасль и обеспечить развитие энергетической системы страны.</w:t>
      </w:r>
    </w:p>
    <w:p w:rsidR="00975DEA" w:rsidRPr="002134BE" w:rsidRDefault="00975DE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D7B4F" w:rsidRDefault="00BD7B4F" w:rsidP="001B1F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7B4F" w:rsidRDefault="00BD7B4F" w:rsidP="001B1F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7B4F" w:rsidRDefault="00BD7B4F" w:rsidP="001B1F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5DEA" w:rsidRPr="002134BE" w:rsidRDefault="00975DEA" w:rsidP="001B1F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34BE">
        <w:rPr>
          <w:rFonts w:ascii="Arial" w:hAnsi="Arial" w:cs="Arial"/>
          <w:b/>
          <w:sz w:val="20"/>
          <w:szCs w:val="20"/>
        </w:rPr>
        <w:lastRenderedPageBreak/>
        <w:t>Библиографический список</w:t>
      </w:r>
    </w:p>
    <w:p w:rsidR="001B1FD3" w:rsidRPr="002134BE" w:rsidRDefault="001B1FD3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37E6" w:rsidRPr="002134BE" w:rsidRDefault="003737E6" w:rsidP="001B1FD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2134BE">
        <w:rPr>
          <w:rFonts w:ascii="Arial" w:hAnsi="Arial" w:cs="Arial"/>
          <w:bCs/>
          <w:sz w:val="20"/>
          <w:szCs w:val="20"/>
        </w:rPr>
        <w:t>Конюхов В.Ю., </w:t>
      </w:r>
      <w:proofErr w:type="spellStart"/>
      <w:r w:rsidRPr="002134BE">
        <w:rPr>
          <w:rFonts w:ascii="Arial" w:hAnsi="Arial" w:cs="Arial"/>
          <w:bCs/>
          <w:sz w:val="20"/>
          <w:szCs w:val="20"/>
        </w:rPr>
        <w:t>Кычкин</w:t>
      </w:r>
      <w:proofErr w:type="spellEnd"/>
      <w:r w:rsidRPr="002134B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A723C" w:rsidRPr="002134BE">
        <w:rPr>
          <w:rFonts w:ascii="Arial" w:hAnsi="Arial" w:cs="Arial"/>
          <w:bCs/>
          <w:sz w:val="20"/>
          <w:szCs w:val="20"/>
        </w:rPr>
        <w:t xml:space="preserve">А.А. </w:t>
      </w:r>
      <w:r w:rsidRPr="002134BE">
        <w:rPr>
          <w:rFonts w:ascii="Arial" w:hAnsi="Arial" w:cs="Arial"/>
          <w:bCs/>
          <w:sz w:val="20"/>
          <w:szCs w:val="20"/>
        </w:rPr>
        <w:t>Инвестиционная политика как форма государственного регул</w:t>
      </w:r>
      <w:r w:rsidRPr="002134BE">
        <w:rPr>
          <w:rFonts w:ascii="Arial" w:hAnsi="Arial" w:cs="Arial"/>
          <w:bCs/>
          <w:sz w:val="20"/>
          <w:szCs w:val="20"/>
        </w:rPr>
        <w:t>и</w:t>
      </w:r>
      <w:r w:rsidRPr="002134BE">
        <w:rPr>
          <w:rFonts w:ascii="Arial" w:hAnsi="Arial" w:cs="Arial"/>
          <w:bCs/>
          <w:sz w:val="20"/>
          <w:szCs w:val="20"/>
        </w:rPr>
        <w:t>рования</w:t>
      </w:r>
      <w:r w:rsidR="00BD7B4F">
        <w:rPr>
          <w:rFonts w:ascii="Arial" w:hAnsi="Arial" w:cs="Arial"/>
          <w:bCs/>
          <w:sz w:val="20"/>
          <w:szCs w:val="20"/>
        </w:rPr>
        <w:t xml:space="preserve"> /</w:t>
      </w:r>
      <w:r w:rsidRPr="002134BE">
        <w:rPr>
          <w:rFonts w:ascii="Arial" w:hAnsi="Arial" w:cs="Arial"/>
          <w:bCs/>
          <w:sz w:val="20"/>
          <w:szCs w:val="20"/>
        </w:rPr>
        <w:t xml:space="preserve">/ </w:t>
      </w:r>
      <w:r w:rsidRPr="002134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34BE">
        <w:rPr>
          <w:rFonts w:ascii="Arial" w:hAnsi="Arial" w:cs="Arial"/>
          <w:bCs/>
          <w:sz w:val="20"/>
          <w:szCs w:val="20"/>
        </w:rPr>
        <w:t>Управление экономическими системами: электронный научный журнал</w:t>
      </w:r>
      <w:r w:rsidR="00DA723C" w:rsidRPr="002134BE">
        <w:rPr>
          <w:rFonts w:ascii="Arial" w:hAnsi="Arial" w:cs="Arial"/>
          <w:bCs/>
          <w:sz w:val="20"/>
          <w:szCs w:val="20"/>
        </w:rPr>
        <w:t>.</w:t>
      </w:r>
      <w:r w:rsidRPr="002134BE">
        <w:rPr>
          <w:rFonts w:ascii="Arial" w:hAnsi="Arial" w:cs="Arial"/>
          <w:bCs/>
          <w:sz w:val="20"/>
          <w:szCs w:val="20"/>
        </w:rPr>
        <w:t xml:space="preserve"> </w:t>
      </w:r>
      <w:r w:rsidR="00DA723C" w:rsidRPr="002134BE">
        <w:rPr>
          <w:rFonts w:ascii="Arial" w:hAnsi="Arial" w:cs="Arial"/>
          <w:bCs/>
          <w:sz w:val="20"/>
          <w:szCs w:val="20"/>
        </w:rPr>
        <w:t>–</w:t>
      </w:r>
      <w:r w:rsidRPr="002134BE">
        <w:rPr>
          <w:rFonts w:ascii="Arial" w:hAnsi="Arial" w:cs="Arial"/>
          <w:bCs/>
          <w:sz w:val="20"/>
          <w:szCs w:val="20"/>
        </w:rPr>
        <w:t xml:space="preserve"> (67) </w:t>
      </w:r>
      <w:proofErr w:type="spellStart"/>
      <w:r w:rsidRPr="002134BE">
        <w:rPr>
          <w:rFonts w:ascii="Arial" w:hAnsi="Arial" w:cs="Arial"/>
          <w:bCs/>
          <w:sz w:val="20"/>
          <w:szCs w:val="20"/>
        </w:rPr>
        <w:t>УЭкС</w:t>
      </w:r>
      <w:proofErr w:type="spellEnd"/>
      <w:r w:rsidRPr="002134BE">
        <w:rPr>
          <w:rFonts w:ascii="Arial" w:hAnsi="Arial" w:cs="Arial"/>
          <w:bCs/>
          <w:sz w:val="20"/>
          <w:szCs w:val="20"/>
        </w:rPr>
        <w:t>, 7/2014</w:t>
      </w:r>
    </w:p>
    <w:p w:rsidR="00975DEA" w:rsidRPr="002134BE" w:rsidRDefault="00BD7B4F" w:rsidP="001B1FD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Конюхов В.Ю.</w:t>
      </w:r>
      <w:r w:rsidR="009E1226" w:rsidRPr="002134BE">
        <w:rPr>
          <w:rFonts w:ascii="Arial" w:hAnsi="Arial" w:cs="Arial"/>
          <w:bCs/>
          <w:sz w:val="20"/>
          <w:szCs w:val="20"/>
        </w:rPr>
        <w:t xml:space="preserve"> </w:t>
      </w:r>
      <w:r w:rsidR="003737E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Оценка эффективности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737E6" w:rsidRPr="002134B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инвестиций</w:t>
      </w:r>
      <w:r w:rsidR="00DA723C" w:rsidRPr="002134B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="003737E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объекты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737E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незавершенного строител</w:t>
      </w:r>
      <w:r w:rsidR="003737E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ь</w:t>
      </w:r>
      <w:r w:rsidR="003737E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ства в условиях рынка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E122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9E122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Вестник ИрГТУ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– </w:t>
      </w:r>
      <w:r w:rsidR="009E1226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2009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. – №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A723C" w:rsidRPr="002134BE">
        <w:rPr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</w:p>
    <w:p w:rsidR="009E1226" w:rsidRPr="002134BE" w:rsidRDefault="00E96DA2" w:rsidP="001B1FD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Style w:val="ad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Степанов В.С.,</w:t>
      </w:r>
      <w:r w:rsidR="00DA723C" w:rsidRPr="002134BE">
        <w:rPr>
          <w:rStyle w:val="ad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Суслов К.В., </w:t>
      </w:r>
      <w:proofErr w:type="spellStart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Чеботнягин</w:t>
      </w:r>
      <w:proofErr w:type="spellEnd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Л.М., Мартыненко Е.В. Управление спросом: р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ночный подход к потребителям-регуляторам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// Повышение  эффективности производства и использ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вания энергии в условиях Сибири: м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атериалы </w:t>
      </w:r>
      <w:proofErr w:type="spellStart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</w:t>
      </w:r>
      <w:proofErr w:type="spellEnd"/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ауч</w:t>
      </w:r>
      <w:proofErr w:type="gramStart"/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proofErr w:type="gramEnd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 </w:t>
      </w:r>
      <w:proofErr w:type="spellStart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унар</w:t>
      </w:r>
      <w:proofErr w:type="spellEnd"/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. участием.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–Иркутск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Изд-во ИрГТУ, 2011.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С.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520</w:t>
      </w:r>
      <w:r w:rsidR="00C11807"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2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>524.</w:t>
      </w:r>
    </w:p>
    <w:p w:rsidR="00E96DA2" w:rsidRPr="002134BE" w:rsidRDefault="00E96DA2" w:rsidP="001B1F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Бухарбаева</w:t>
      </w:r>
      <w:proofErr w:type="spellEnd"/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Л.Я., </w:t>
      </w:r>
      <w:proofErr w:type="spellStart"/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Габидуллина</w:t>
      </w:r>
      <w:proofErr w:type="spellEnd"/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Г.З. </w:t>
      </w:r>
      <w:r w:rsidRPr="002134BE">
        <w:rPr>
          <w:rFonts w:ascii="Arial" w:hAnsi="Arial" w:cs="Arial"/>
          <w:sz w:val="20"/>
          <w:szCs w:val="20"/>
        </w:rPr>
        <w:t>Комплексный подход к оценке инвестиционных проектов в энергетике</w:t>
      </w:r>
      <w:r w:rsidR="00BD7B4F">
        <w:rPr>
          <w:rFonts w:ascii="Arial" w:hAnsi="Arial" w:cs="Arial"/>
          <w:sz w:val="20"/>
          <w:szCs w:val="20"/>
        </w:rPr>
        <w:t xml:space="preserve"> /</w:t>
      </w:r>
      <w:r w:rsidRPr="002134BE"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2134BE">
          <w:rPr>
            <w:rStyle w:val="ac"/>
            <w:rFonts w:ascii="Arial" w:hAnsi="Arial" w:cs="Arial"/>
            <w:color w:val="auto"/>
            <w:sz w:val="20"/>
            <w:szCs w:val="20"/>
            <w:u w:val="none"/>
          </w:rPr>
          <w:t>Вестник Челябинского государственного университета</w:t>
        </w:r>
      </w:hyperlink>
      <w:r w:rsidR="00C11807" w:rsidRPr="002134BE">
        <w:rPr>
          <w:rFonts w:ascii="Arial" w:hAnsi="Arial" w:cs="Arial"/>
          <w:sz w:val="20"/>
          <w:szCs w:val="20"/>
        </w:rPr>
        <w:t>. –</w:t>
      </w:r>
      <w:r w:rsidRPr="002134BE">
        <w:rPr>
          <w:rFonts w:ascii="Arial" w:hAnsi="Arial" w:cs="Arial"/>
          <w:sz w:val="20"/>
          <w:szCs w:val="20"/>
        </w:rPr>
        <w:t xml:space="preserve"> 2010</w:t>
      </w:r>
      <w:r w:rsidR="00C11807" w:rsidRPr="002134BE">
        <w:rPr>
          <w:rFonts w:ascii="Arial" w:hAnsi="Arial" w:cs="Arial"/>
          <w:sz w:val="20"/>
          <w:szCs w:val="20"/>
        </w:rPr>
        <w:t>. – №</w:t>
      </w:r>
      <w:r w:rsidR="00BD7B4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11807" w:rsidRPr="002134BE">
        <w:rPr>
          <w:rFonts w:ascii="Arial" w:hAnsi="Arial" w:cs="Arial"/>
          <w:sz w:val="20"/>
          <w:szCs w:val="20"/>
        </w:rPr>
        <w:t>26.</w:t>
      </w:r>
    </w:p>
    <w:p w:rsidR="00DD6213" w:rsidRPr="002134BE" w:rsidRDefault="008D3FB7" w:rsidP="001B1F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4BE">
        <w:rPr>
          <w:rFonts w:ascii="Arial" w:hAnsi="Arial" w:cs="Arial"/>
          <w:sz w:val="20"/>
          <w:szCs w:val="20"/>
        </w:rPr>
        <w:t xml:space="preserve">Летягина </w:t>
      </w:r>
      <w:r w:rsidR="00C11807" w:rsidRPr="002134BE">
        <w:rPr>
          <w:rFonts w:ascii="Arial" w:hAnsi="Arial" w:cs="Arial"/>
          <w:sz w:val="20"/>
          <w:szCs w:val="20"/>
        </w:rPr>
        <w:t xml:space="preserve">Е.Н. 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оценки экономической эффективности внедрения инноваций в энергетику</w:t>
      </w:r>
      <w:r w:rsidR="00C1180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r w:rsidR="00C1180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Вестник Нижегородского университета им. Н.И. Лобачевского</w:t>
      </w:r>
      <w:r w:rsidR="00C1180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– 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</w:t>
      </w:r>
      <w:r w:rsidR="00C1180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– 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3 (2)</w:t>
      </w:r>
      <w:r w:rsidR="00C1180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– </w:t>
      </w:r>
    </w:p>
    <w:p w:rsidR="00E96DA2" w:rsidRPr="002134BE" w:rsidRDefault="00C11807" w:rsidP="00DD62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8D3FB7"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520–522</w:t>
      </w:r>
      <w:r w:rsidRPr="00213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6DA2" w:rsidRPr="002134BE" w:rsidRDefault="00E96DA2" w:rsidP="001B1FD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75DEA" w:rsidRPr="002134BE" w:rsidRDefault="00975DEA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1224C" w:rsidRPr="002134BE" w:rsidRDefault="00D1224C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 </w:t>
      </w:r>
    </w:p>
    <w:p w:rsidR="009816D8" w:rsidRPr="002134BE" w:rsidRDefault="00F23579" w:rsidP="001B1F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34BE">
        <w:rPr>
          <w:rFonts w:ascii="Arial" w:hAnsi="Arial" w:cs="Arial"/>
          <w:sz w:val="20"/>
          <w:szCs w:val="20"/>
        </w:rPr>
        <w:t xml:space="preserve"> </w:t>
      </w:r>
    </w:p>
    <w:sectPr w:rsidR="009816D8" w:rsidRPr="002134BE" w:rsidSect="00061D08"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E7" w:rsidRDefault="008051E7" w:rsidP="000C2278">
      <w:pPr>
        <w:spacing w:after="0" w:line="240" w:lineRule="auto"/>
      </w:pPr>
      <w:r>
        <w:separator/>
      </w:r>
    </w:p>
  </w:endnote>
  <w:endnote w:type="continuationSeparator" w:id="0">
    <w:p w:rsidR="008051E7" w:rsidRDefault="008051E7" w:rsidP="000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76036"/>
      <w:docPartObj>
        <w:docPartGallery w:val="Page Numbers (Bottom of Page)"/>
        <w:docPartUnique/>
      </w:docPartObj>
    </w:sdtPr>
    <w:sdtEndPr/>
    <w:sdtContent>
      <w:p w:rsidR="001B1FD3" w:rsidRDefault="001B1FD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4F">
          <w:rPr>
            <w:noProof/>
          </w:rPr>
          <w:t>4</w:t>
        </w:r>
        <w:r>
          <w:fldChar w:fldCharType="end"/>
        </w:r>
      </w:p>
    </w:sdtContent>
  </w:sdt>
  <w:p w:rsidR="001B1FD3" w:rsidRDefault="001B1FD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E7" w:rsidRDefault="008051E7" w:rsidP="000C2278">
      <w:pPr>
        <w:spacing w:after="0" w:line="240" w:lineRule="auto"/>
      </w:pPr>
      <w:r>
        <w:separator/>
      </w:r>
    </w:p>
  </w:footnote>
  <w:footnote w:type="continuationSeparator" w:id="0">
    <w:p w:rsidR="008051E7" w:rsidRDefault="008051E7" w:rsidP="000C2278">
      <w:pPr>
        <w:spacing w:after="0" w:line="240" w:lineRule="auto"/>
      </w:pPr>
      <w:r>
        <w:continuationSeparator/>
      </w:r>
    </w:p>
  </w:footnote>
  <w:footnote w:id="1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>Суслов Константин Витальевич, канд</w:t>
      </w:r>
      <w:r w:rsidR="002E79DC">
        <w:rPr>
          <w:rFonts w:ascii="Arial" w:eastAsia="Times New Roman" w:hAnsi="Arial" w:cs="Arial"/>
          <w:sz w:val="18"/>
          <w:szCs w:val="18"/>
          <w:lang w:eastAsia="ru-RU"/>
        </w:rPr>
        <w:t>идат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 xml:space="preserve"> техн</w:t>
      </w:r>
      <w:r w:rsidR="002E79DC">
        <w:rPr>
          <w:rFonts w:ascii="Arial" w:eastAsia="Times New Roman" w:hAnsi="Arial" w:cs="Arial"/>
          <w:sz w:val="18"/>
          <w:szCs w:val="18"/>
          <w:lang w:eastAsia="ru-RU"/>
        </w:rPr>
        <w:t>ических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 xml:space="preserve"> наук, доцент кафедры электроснабжения и электроте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>ники</w:t>
      </w:r>
      <w:r w:rsidR="002E79D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: otep@istu.edu.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134BE" w:rsidRPr="002E79DC" w:rsidRDefault="002134BE" w:rsidP="002134B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Suslov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Konstantin, </w:t>
      </w:r>
      <w:r w:rsidRPr="002134BE">
        <w:rPr>
          <w:rFonts w:ascii="Arial" w:eastAsia="Times New Roman" w:hAnsi="Arial" w:cs="Arial"/>
          <w:sz w:val="18"/>
          <w:szCs w:val="18"/>
          <w:lang w:val="en-US" w:eastAsia="zh-CN"/>
        </w:rPr>
        <w:t>Candidate of Engineering Sciences</w:t>
      </w:r>
      <w:r w:rsidRPr="002134BE">
        <w:rPr>
          <w:rFonts w:ascii="Arial" w:eastAsia="Calibri" w:hAnsi="Arial" w:cs="Arial"/>
          <w:sz w:val="18"/>
          <w:szCs w:val="18"/>
          <w:lang w:val="en-US"/>
        </w:rPr>
        <w:t xml:space="preserve">, Associate Professor </w:t>
      </w:r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of Power Supply and Electrical Engineering Department</w:t>
      </w:r>
      <w:r w:rsidR="002E79DC" w:rsidRPr="002E79DC">
        <w:rPr>
          <w:rFonts w:ascii="Arial" w:eastAsia="Times New Roman" w:hAnsi="Arial" w:cs="Arial"/>
          <w:sz w:val="18"/>
          <w:szCs w:val="18"/>
          <w:lang w:val="en-US" w:eastAsia="ru-RU"/>
        </w:rPr>
        <w:t>, e-mail: otep@istu.edu.</w:t>
      </w:r>
    </w:p>
  </w:footnote>
  <w:footnote w:id="2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 xml:space="preserve">Конюхов Владимир Юрьевич, канд. </w:t>
      </w:r>
      <w:proofErr w:type="spellStart"/>
      <w:r w:rsidRPr="002134BE">
        <w:rPr>
          <w:rFonts w:ascii="Arial" w:eastAsia="Times New Roman" w:hAnsi="Arial" w:cs="Arial"/>
          <w:sz w:val="18"/>
          <w:szCs w:val="18"/>
          <w:lang w:eastAsia="ru-RU"/>
        </w:rPr>
        <w:t>техн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eastAsia="ru-RU"/>
        </w:rPr>
        <w:t>. наук, профессор кафедры управления промышленными предприяти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2134BE">
        <w:rPr>
          <w:rFonts w:ascii="Arial" w:eastAsia="Times New Roman" w:hAnsi="Arial" w:cs="Arial"/>
          <w:sz w:val="18"/>
          <w:szCs w:val="18"/>
          <w:lang w:eastAsia="ru-RU"/>
        </w:rPr>
        <w:t>ми</w:t>
      </w:r>
      <w:r w:rsidR="002E79D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="002E79DC" w:rsidRPr="002E79DC">
        <w:rPr>
          <w:rFonts w:ascii="Arial" w:eastAsia="Times New Roman" w:hAnsi="Arial" w:cs="Arial"/>
          <w:sz w:val="18"/>
          <w:szCs w:val="18"/>
          <w:lang w:eastAsia="ru-RU"/>
        </w:rPr>
        <w:t>: kvu@invest38.com</w:t>
      </w:r>
    </w:p>
    <w:p w:rsidR="002134BE" w:rsidRPr="002E79DC" w:rsidRDefault="002134BE" w:rsidP="002134B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34BE">
        <w:rPr>
          <w:rFonts w:ascii="Arial" w:eastAsia="Calibri" w:hAnsi="Arial" w:cs="Arial"/>
          <w:sz w:val="18"/>
          <w:szCs w:val="18"/>
          <w:lang w:val="en-US"/>
        </w:rPr>
        <w:t>Konyukhov</w:t>
      </w:r>
      <w:proofErr w:type="spellEnd"/>
      <w:r w:rsidRPr="002134BE">
        <w:rPr>
          <w:rFonts w:ascii="Arial" w:eastAsia="Calibri" w:hAnsi="Arial" w:cs="Arial"/>
          <w:sz w:val="18"/>
          <w:szCs w:val="18"/>
          <w:lang w:val="en-US"/>
        </w:rPr>
        <w:t xml:space="preserve"> Vladimir, </w:t>
      </w:r>
      <w:r w:rsidRPr="002134BE">
        <w:rPr>
          <w:rFonts w:ascii="Arial" w:eastAsia="Times New Roman" w:hAnsi="Arial" w:cs="Arial"/>
          <w:sz w:val="18"/>
          <w:szCs w:val="18"/>
          <w:lang w:val="en-US" w:eastAsia="zh-CN"/>
        </w:rPr>
        <w:t>Candidate of Engineering Sciences, Professor of Enterprises Management Department</w:t>
      </w:r>
      <w:r w:rsidR="002E79DC" w:rsidRPr="002E79DC">
        <w:rPr>
          <w:rFonts w:ascii="Arial" w:eastAsia="Times New Roman" w:hAnsi="Arial" w:cs="Arial"/>
          <w:sz w:val="18"/>
          <w:szCs w:val="18"/>
          <w:lang w:val="en-US" w:eastAsia="zh-CN"/>
        </w:rPr>
        <w:t>, e-mail: kvu@invest38.com</w:t>
      </w:r>
    </w:p>
  </w:footnote>
  <w:footnote w:id="3">
    <w:p w:rsidR="002134BE" w:rsidRPr="00BD7B4F" w:rsidRDefault="002134BE" w:rsidP="002134B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4BE">
        <w:rPr>
          <w:rFonts w:ascii="Arial" w:hAnsi="Arial" w:cs="Arial"/>
          <w:sz w:val="18"/>
          <w:szCs w:val="18"/>
        </w:rPr>
        <w:t>Федчишин</w:t>
      </w:r>
      <w:proofErr w:type="spellEnd"/>
      <w:r w:rsidRPr="002134BE">
        <w:rPr>
          <w:rFonts w:ascii="Arial" w:hAnsi="Arial" w:cs="Arial"/>
          <w:sz w:val="18"/>
          <w:szCs w:val="18"/>
        </w:rPr>
        <w:t xml:space="preserve"> Никита Вадимович, магистрант гр</w:t>
      </w:r>
      <w:r w:rsidR="002E79DC">
        <w:rPr>
          <w:rFonts w:ascii="Arial" w:hAnsi="Arial" w:cs="Arial"/>
          <w:sz w:val="18"/>
          <w:szCs w:val="18"/>
        </w:rPr>
        <w:t>уппы</w:t>
      </w:r>
      <w:r w:rsidRPr="002134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4BE">
        <w:rPr>
          <w:rFonts w:ascii="Arial" w:hAnsi="Arial" w:cs="Arial"/>
          <w:sz w:val="18"/>
          <w:szCs w:val="18"/>
        </w:rPr>
        <w:t>ИНИм</w:t>
      </w:r>
      <w:proofErr w:type="spellEnd"/>
      <w:r w:rsidRPr="00BD7B4F">
        <w:rPr>
          <w:rFonts w:ascii="Arial" w:hAnsi="Arial" w:cs="Arial"/>
          <w:sz w:val="18"/>
          <w:szCs w:val="18"/>
        </w:rPr>
        <w:t>-13-1.</w:t>
      </w:r>
    </w:p>
    <w:p w:rsidR="002134BE" w:rsidRPr="002134BE" w:rsidRDefault="002134BE" w:rsidP="002134B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Fedchishin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Nikita, an undergraduate student, groupINIm-13</w:t>
      </w:r>
    </w:p>
  </w:footnote>
  <w:footnote w:id="4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>Корытов</w:t>
      </w:r>
      <w:proofErr w:type="spellEnd"/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Е.А., магистрант ИНИм-13-1.</w:t>
      </w:r>
    </w:p>
    <w:p w:rsidR="002134BE" w:rsidRPr="002134BE" w:rsidRDefault="002134BE" w:rsidP="002134B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Korytov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E., an undergraduate student, groupINIm-13</w:t>
      </w:r>
    </w:p>
  </w:footnote>
  <w:footnote w:id="5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>Лебедев А.В., магистрант ИНИм-13-1.</w:t>
      </w:r>
    </w:p>
    <w:p w:rsidR="002134BE" w:rsidRPr="002134BE" w:rsidRDefault="002134BE" w:rsidP="002134BE">
      <w:pPr>
        <w:pStyle w:val="a3"/>
        <w:rPr>
          <w:rFonts w:ascii="Arial" w:hAnsi="Arial" w:cs="Arial"/>
          <w:sz w:val="18"/>
          <w:szCs w:val="18"/>
          <w:lang w:val="en-US"/>
        </w:rPr>
      </w:pPr>
      <w:proofErr w:type="spellStart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Lebedev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A., an undergraduate student, groupINIm-13</w:t>
      </w:r>
    </w:p>
  </w:footnote>
  <w:footnote w:id="6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>Семенов А.В., магистрант ИНИм-13-1.</w:t>
      </w:r>
    </w:p>
    <w:p w:rsidR="002134BE" w:rsidRPr="002134BE" w:rsidRDefault="002134BE" w:rsidP="002134B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Semenov A., an undergraduate student, groupINIm-13</w:t>
      </w:r>
    </w:p>
  </w:footnote>
  <w:footnote w:id="7">
    <w:p w:rsidR="002134BE" w:rsidRPr="002134BE" w:rsidRDefault="002134BE" w:rsidP="002134B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2134BE">
        <w:rPr>
          <w:rStyle w:val="a5"/>
          <w:rFonts w:ascii="Arial" w:hAnsi="Arial" w:cs="Arial"/>
          <w:sz w:val="18"/>
          <w:szCs w:val="18"/>
        </w:rPr>
        <w:footnoteRef/>
      </w:r>
      <w:r w:rsidRPr="002134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>Шамарова</w:t>
      </w:r>
      <w:proofErr w:type="spellEnd"/>
      <w:r w:rsidRPr="002134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Наталия Андреевна, студентка гр. УПИ</w:t>
      </w:r>
      <w:r w:rsidRPr="002134BE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-10-1, </w:t>
      </w:r>
      <w:r w:rsidRPr="002134BE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1" w:history="1">
        <w:r w:rsidRPr="002134BE">
          <w:rPr>
            <w:rStyle w:val="ac"/>
            <w:rFonts w:ascii="Arial" w:hAnsi="Arial" w:cs="Arial"/>
            <w:color w:val="auto"/>
            <w:sz w:val="18"/>
            <w:szCs w:val="18"/>
            <w:u w:val="none"/>
            <w:lang w:val="en-US"/>
          </w:rPr>
          <w:t>nat196508@mail.ru</w:t>
        </w:r>
      </w:hyperlink>
    </w:p>
    <w:p w:rsidR="002134BE" w:rsidRPr="002134BE" w:rsidRDefault="002134BE" w:rsidP="002134B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>Shamarova</w:t>
      </w:r>
      <w:proofErr w:type="spellEnd"/>
      <w:r w:rsidRPr="002134B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Natalia, a student of UPI-10-1, e-mail: nat196508@mail.ru</w:t>
      </w:r>
    </w:p>
    <w:p w:rsidR="002134BE" w:rsidRPr="002134BE" w:rsidRDefault="002134BE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E5"/>
    <w:multiLevelType w:val="hybridMultilevel"/>
    <w:tmpl w:val="F0966414"/>
    <w:lvl w:ilvl="0" w:tplc="A2225C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710"/>
    <w:multiLevelType w:val="hybridMultilevel"/>
    <w:tmpl w:val="382EC19A"/>
    <w:lvl w:ilvl="0" w:tplc="1ACA3E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06E7D"/>
    <w:multiLevelType w:val="hybridMultilevel"/>
    <w:tmpl w:val="06A2F4CC"/>
    <w:lvl w:ilvl="0" w:tplc="4C7809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1BF3"/>
    <w:multiLevelType w:val="multilevel"/>
    <w:tmpl w:val="FB6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D8"/>
    <w:rsid w:val="00061D08"/>
    <w:rsid w:val="000918D3"/>
    <w:rsid w:val="000C2278"/>
    <w:rsid w:val="00114D0B"/>
    <w:rsid w:val="00177611"/>
    <w:rsid w:val="001A757B"/>
    <w:rsid w:val="001B1FD3"/>
    <w:rsid w:val="001C7BAA"/>
    <w:rsid w:val="002134BE"/>
    <w:rsid w:val="002330A5"/>
    <w:rsid w:val="002B3E69"/>
    <w:rsid w:val="002B51AE"/>
    <w:rsid w:val="002E79DC"/>
    <w:rsid w:val="00312548"/>
    <w:rsid w:val="00345454"/>
    <w:rsid w:val="003737E6"/>
    <w:rsid w:val="003F6891"/>
    <w:rsid w:val="00484650"/>
    <w:rsid w:val="00490F22"/>
    <w:rsid w:val="004E3698"/>
    <w:rsid w:val="005B7DB1"/>
    <w:rsid w:val="005F7087"/>
    <w:rsid w:val="00647A47"/>
    <w:rsid w:val="006555BA"/>
    <w:rsid w:val="00717F0A"/>
    <w:rsid w:val="0077721D"/>
    <w:rsid w:val="00796B65"/>
    <w:rsid w:val="007E0C3A"/>
    <w:rsid w:val="00802B85"/>
    <w:rsid w:val="008051E7"/>
    <w:rsid w:val="00832F87"/>
    <w:rsid w:val="00856E01"/>
    <w:rsid w:val="008D3FB7"/>
    <w:rsid w:val="009501D5"/>
    <w:rsid w:val="00975DEA"/>
    <w:rsid w:val="009816D8"/>
    <w:rsid w:val="009E1226"/>
    <w:rsid w:val="00A361B7"/>
    <w:rsid w:val="00A567BA"/>
    <w:rsid w:val="00A742FF"/>
    <w:rsid w:val="00B77920"/>
    <w:rsid w:val="00BC298A"/>
    <w:rsid w:val="00BD7B4F"/>
    <w:rsid w:val="00C11807"/>
    <w:rsid w:val="00C25216"/>
    <w:rsid w:val="00C90FF5"/>
    <w:rsid w:val="00CB7894"/>
    <w:rsid w:val="00CE060F"/>
    <w:rsid w:val="00D1224C"/>
    <w:rsid w:val="00D2308B"/>
    <w:rsid w:val="00D70CD0"/>
    <w:rsid w:val="00D800C2"/>
    <w:rsid w:val="00D859A6"/>
    <w:rsid w:val="00DA723C"/>
    <w:rsid w:val="00DD6213"/>
    <w:rsid w:val="00E168FF"/>
    <w:rsid w:val="00E64CC0"/>
    <w:rsid w:val="00E854FD"/>
    <w:rsid w:val="00E96DA2"/>
    <w:rsid w:val="00F23579"/>
    <w:rsid w:val="00F40217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2"/>
  </w:style>
  <w:style w:type="paragraph" w:styleId="1">
    <w:name w:val="heading 1"/>
    <w:basedOn w:val="a"/>
    <w:next w:val="a"/>
    <w:link w:val="10"/>
    <w:uiPriority w:val="9"/>
    <w:qFormat/>
    <w:rsid w:val="00E9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2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2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278"/>
    <w:rPr>
      <w:vertAlign w:val="superscript"/>
    </w:rPr>
  </w:style>
  <w:style w:type="paragraph" w:styleId="a6">
    <w:name w:val="Body Text"/>
    <w:link w:val="a7"/>
    <w:uiPriority w:val="99"/>
    <w:semiHidden/>
    <w:unhideWhenUsed/>
    <w:rsid w:val="000C2278"/>
    <w:pPr>
      <w:spacing w:after="0" w:line="240" w:lineRule="auto"/>
      <w:ind w:firstLine="1134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C2278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D08"/>
  </w:style>
  <w:style w:type="paragraph" w:styleId="a9">
    <w:name w:val="List Paragraph"/>
    <w:basedOn w:val="a"/>
    <w:uiPriority w:val="34"/>
    <w:qFormat/>
    <w:rsid w:val="00717F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69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59A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E96D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arch-hl">
    <w:name w:val="search-hl"/>
    <w:basedOn w:val="a0"/>
    <w:rsid w:val="00E96DA2"/>
  </w:style>
  <w:style w:type="paragraph" w:styleId="ae">
    <w:name w:val="header"/>
    <w:basedOn w:val="a"/>
    <w:link w:val="af"/>
    <w:uiPriority w:val="99"/>
    <w:unhideWhenUsed/>
    <w:rsid w:val="001B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1FD3"/>
  </w:style>
  <w:style w:type="paragraph" w:styleId="af0">
    <w:name w:val="footer"/>
    <w:basedOn w:val="a"/>
    <w:link w:val="af1"/>
    <w:uiPriority w:val="99"/>
    <w:unhideWhenUsed/>
    <w:rsid w:val="001B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journal/n/vestnik-chelyabinskogo-gosudarstvennogo-universitet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t1965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4B33-ACB3-4495-9609-8A0204F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Победаш Евгения Владимировна</cp:lastModifiedBy>
  <cp:revision>30</cp:revision>
  <cp:lastPrinted>2015-05-28T06:14:00Z</cp:lastPrinted>
  <dcterms:created xsi:type="dcterms:W3CDTF">2015-05-27T11:19:00Z</dcterms:created>
  <dcterms:modified xsi:type="dcterms:W3CDTF">2015-06-09T06:36:00Z</dcterms:modified>
</cp:coreProperties>
</file>