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50" w:rsidRPr="00AE40DA" w:rsidRDefault="00133745" w:rsidP="00A45BB3">
      <w:pPr>
        <w:jc w:val="center"/>
        <w:rPr>
          <w:rFonts w:ascii="Arial" w:hAnsi="Arial" w:cs="Arial"/>
          <w:b/>
          <w:sz w:val="24"/>
          <w:szCs w:val="24"/>
        </w:rPr>
      </w:pPr>
      <w:r w:rsidRPr="00AE40DA">
        <w:rPr>
          <w:rFonts w:ascii="Arial" w:hAnsi="Arial" w:cs="Arial"/>
          <w:b/>
          <w:sz w:val="24"/>
          <w:szCs w:val="24"/>
        </w:rPr>
        <w:t>Образцы оформления иллюстративного материала</w:t>
      </w:r>
    </w:p>
    <w:p w:rsidR="00AE40DA" w:rsidRPr="00A45BB3" w:rsidRDefault="00AE40DA" w:rsidP="00A45BB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45BB3" w:rsidRDefault="00A45BB3" w:rsidP="00A45BB3">
      <w:pPr>
        <w:jc w:val="center"/>
        <w:rPr>
          <w:rFonts w:ascii="Arial" w:eastAsia="Calibri" w:hAnsi="Arial" w:cs="Arial"/>
          <w:bCs/>
          <w:w w:val="90"/>
          <w:sz w:val="20"/>
          <w:szCs w:val="24"/>
        </w:rPr>
      </w:pPr>
      <w:r w:rsidRPr="00A45BB3">
        <w:rPr>
          <w:rFonts w:ascii="Arial" w:eastAsia="Calibri" w:hAnsi="Arial" w:cs="Arial"/>
          <w:bCs/>
          <w:w w:val="90"/>
          <w:sz w:val="20"/>
          <w:szCs w:val="24"/>
        </w:rPr>
        <w:object w:dxaOrig="8701" w:dyaOrig="7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7pt;height:296.15pt" o:ole="">
            <v:imagedata r:id="rId6" o:title=""/>
          </v:shape>
          <o:OLEObject Type="Embed" ProgID="Visio.Drawing.11" ShapeID="_x0000_i1025" DrawAspect="Content" ObjectID="_1635337561" r:id="rId7"/>
        </w:object>
      </w:r>
    </w:p>
    <w:p w:rsidR="00A45BB3" w:rsidRPr="00A45BB3" w:rsidRDefault="00A45BB3" w:rsidP="00A45BB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Рис. 3. Возможные формы графиков </w:t>
      </w:r>
      <w:proofErr w:type="spellStart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i</w:t>
      </w:r>
      <w:proofErr w:type="spellEnd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>(ω) в зависимости от соотношения</w:t>
      </w:r>
    </w:p>
    <w:p w:rsidR="00A45BB3" w:rsidRDefault="00A45BB3" w:rsidP="00A45BB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частот, определяемых выражениями (9), (10): кривая 1 – </w:t>
      </w:r>
      <w:proofErr w:type="spellStart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>ω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  <w:t>дин</w:t>
      </w:r>
      <w:proofErr w:type="spellEnd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 &lt; 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n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; кривая 2 – </w:t>
      </w:r>
      <w:proofErr w:type="spellStart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>ω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  <w:t>дин</w:t>
      </w:r>
      <w:proofErr w:type="spellEnd"/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 &gt; 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n</w:t>
      </w:r>
      <w:r w:rsidRPr="00A45BB3">
        <w:rPr>
          <w:rFonts w:ascii="Arial" w:eastAsia="Calibri" w:hAnsi="Arial" w:cs="Arial"/>
          <w:b/>
          <w:bCs/>
          <w:i/>
          <w:w w:val="90"/>
          <w:sz w:val="20"/>
          <w:szCs w:val="24"/>
        </w:rPr>
        <w:t>'</w:t>
      </w:r>
    </w:p>
    <w:p w:rsidR="00AE40DA" w:rsidRDefault="00AE40DA">
      <w:pPr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  <w:r>
        <w:rPr>
          <w:rFonts w:ascii="Arial" w:eastAsia="Calibri" w:hAnsi="Arial" w:cs="Arial"/>
          <w:b/>
          <w:bCs/>
          <w:i/>
          <w:w w:val="90"/>
          <w:sz w:val="20"/>
          <w:szCs w:val="24"/>
        </w:rPr>
        <w:br w:type="page"/>
      </w:r>
    </w:p>
    <w:p w:rsidR="00AE40DA" w:rsidRPr="00A45BB3" w:rsidRDefault="00AE40DA" w:rsidP="00AE40DA">
      <w:pPr>
        <w:widowControl w:val="0"/>
        <w:spacing w:after="0" w:line="240" w:lineRule="auto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</w:p>
    <w:p w:rsidR="00AE40DA" w:rsidRPr="00AE40DA" w:rsidRDefault="00AE40DA" w:rsidP="00AE40DA">
      <w:pPr>
        <w:spacing w:after="0" w:line="240" w:lineRule="auto"/>
        <w:jc w:val="right"/>
        <w:rPr>
          <w:rFonts w:ascii="Arial" w:eastAsia="Calibri" w:hAnsi="Arial" w:cs="Arial"/>
          <w:b/>
          <w:i/>
          <w:w w:val="90"/>
          <w:sz w:val="20"/>
          <w:szCs w:val="24"/>
        </w:rPr>
      </w:pPr>
      <w:r>
        <w:rPr>
          <w:rFonts w:ascii="Arial" w:eastAsia="Calibri" w:hAnsi="Arial" w:cs="Arial"/>
          <w:b/>
          <w:i/>
          <w:w w:val="90"/>
          <w:sz w:val="20"/>
          <w:szCs w:val="24"/>
        </w:rPr>
        <w:t>Таблица </w:t>
      </w:r>
      <w:r w:rsidRPr="00AE40DA">
        <w:rPr>
          <w:rFonts w:ascii="Arial" w:eastAsia="Calibri" w:hAnsi="Arial" w:cs="Arial"/>
          <w:b/>
          <w:i/>
          <w:w w:val="90"/>
          <w:sz w:val="20"/>
          <w:szCs w:val="24"/>
        </w:rPr>
        <w:t>1</w:t>
      </w:r>
    </w:p>
    <w:p w:rsidR="00AE40DA" w:rsidRPr="00AE40DA" w:rsidRDefault="00AE40DA" w:rsidP="00AE40DA">
      <w:pPr>
        <w:spacing w:after="0" w:line="240" w:lineRule="auto"/>
        <w:jc w:val="center"/>
        <w:rPr>
          <w:rFonts w:ascii="Arial" w:eastAsia="Calibri" w:hAnsi="Arial" w:cs="Arial"/>
          <w:b/>
          <w:i/>
          <w:w w:val="90"/>
          <w:sz w:val="20"/>
          <w:szCs w:val="24"/>
        </w:rPr>
      </w:pPr>
      <w:r w:rsidRPr="00AE40DA">
        <w:rPr>
          <w:rFonts w:ascii="Arial" w:eastAsia="Calibri" w:hAnsi="Arial" w:cs="Arial"/>
          <w:b/>
          <w:i/>
          <w:w w:val="90"/>
          <w:sz w:val="20"/>
          <w:szCs w:val="24"/>
        </w:rPr>
        <w:t xml:space="preserve">Натуральные и нормированные факторы </w:t>
      </w:r>
      <w:r w:rsidRPr="00AE40DA">
        <w:rPr>
          <w:rFonts w:ascii="Arial" w:eastAsia="Calibri" w:hAnsi="Arial" w:cs="Arial"/>
          <w:b/>
          <w:i/>
          <w:w w:val="90"/>
          <w:sz w:val="20"/>
          <w:szCs w:val="24"/>
          <w:lang w:val="en-US"/>
        </w:rPr>
        <w:t>D</w:t>
      </w:r>
      <w:r w:rsidRPr="00AE40DA">
        <w:rPr>
          <w:rFonts w:ascii="Arial" w:eastAsia="Calibri" w:hAnsi="Arial" w:cs="Arial"/>
          <w:b/>
          <w:i/>
          <w:w w:val="90"/>
          <w:sz w:val="20"/>
          <w:szCs w:val="24"/>
        </w:rPr>
        <w:t>-оптимального плана эксперимента</w:t>
      </w:r>
    </w:p>
    <w:p w:rsidR="00AE40DA" w:rsidRPr="00AE40DA" w:rsidRDefault="00AE40DA" w:rsidP="00AE40DA">
      <w:pPr>
        <w:spacing w:after="0" w:line="240" w:lineRule="auto"/>
        <w:jc w:val="center"/>
        <w:rPr>
          <w:rFonts w:ascii="Arial" w:eastAsia="Calibri" w:hAnsi="Arial" w:cs="Arial"/>
          <w:b/>
          <w:i/>
          <w:w w:val="90"/>
          <w:sz w:val="20"/>
          <w:szCs w:val="24"/>
          <w:lang w:val="en-US"/>
        </w:rPr>
      </w:pPr>
    </w:p>
    <w:tbl>
      <w:tblPr>
        <w:tblStyle w:val="a3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4"/>
        <w:gridCol w:w="2151"/>
        <w:gridCol w:w="2337"/>
        <w:gridCol w:w="1528"/>
        <w:gridCol w:w="1489"/>
      </w:tblGrid>
      <w:tr w:rsidR="00AE40DA" w:rsidRPr="00AE40DA" w:rsidTr="004A1459">
        <w:trPr>
          <w:trHeight w:val="348"/>
          <w:jc w:val="center"/>
        </w:trPr>
        <w:tc>
          <w:tcPr>
            <w:tcW w:w="2134" w:type="dxa"/>
            <w:vMerge w:val="restart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Уровень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фактора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/</w:t>
            </w:r>
          </w:p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The level of factor</w:t>
            </w:r>
          </w:p>
        </w:tc>
        <w:tc>
          <w:tcPr>
            <w:tcW w:w="7505" w:type="dxa"/>
            <w:gridSpan w:val="4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Факторы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/ Factor</w:t>
            </w:r>
          </w:p>
        </w:tc>
      </w:tr>
      <w:tr w:rsidR="00AE40DA" w:rsidRPr="00AE40DA" w:rsidTr="004A1459">
        <w:trPr>
          <w:trHeight w:val="704"/>
          <w:jc w:val="center"/>
        </w:trPr>
        <w:tc>
          <w:tcPr>
            <w:tcW w:w="2134" w:type="dxa"/>
            <w:vMerge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</w:rPr>
            </w:pP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S</w:t>
            </w:r>
            <w:proofErr w:type="spellStart"/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vertAlign w:val="subscript"/>
              </w:rPr>
              <w:t>пр</w:t>
            </w:r>
            <w:proofErr w:type="spellEnd"/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/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S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vertAlign w:val="subscript"/>
                <w:lang w:val="en-US"/>
              </w:rPr>
              <w:t>log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 xml:space="preserve"> (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</w:rPr>
              <w:t>А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), м/мин /</w:t>
            </w:r>
          </w:p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m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/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min</w:t>
            </w:r>
          </w:p>
        </w:tc>
        <w:tc>
          <w:tcPr>
            <w:tcW w:w="2337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</w:rPr>
            </w:pP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S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vertAlign w:val="subscript"/>
              </w:rPr>
              <w:t>п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/</w:t>
            </w:r>
            <w:proofErr w:type="spellStart"/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S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vertAlign w:val="subscript"/>
                <w:lang w:val="en-US"/>
              </w:rPr>
              <w:t>c</w:t>
            </w:r>
            <w:proofErr w:type="spellEnd"/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 xml:space="preserve"> (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</w:rPr>
              <w:t>В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), мм/</w:t>
            </w:r>
            <w:proofErr w:type="spellStart"/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дв.ход</w:t>
            </w:r>
            <w:proofErr w:type="spellEnd"/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 xml:space="preserve"> /</w:t>
            </w:r>
          </w:p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mm/double stroke</w:t>
            </w:r>
          </w:p>
        </w:tc>
        <w:tc>
          <w:tcPr>
            <w:tcW w:w="1528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t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(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C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)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, мм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/ mm </w:t>
            </w:r>
          </w:p>
        </w:tc>
        <w:tc>
          <w:tcPr>
            <w:tcW w:w="1489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z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(</w:t>
            </w:r>
            <w:r w:rsidRPr="00AE40DA">
              <w:rPr>
                <w:rFonts w:ascii="Arial" w:eastAsia="Calibri" w:hAnsi="Arial" w:cs="Arial"/>
                <w:i/>
                <w:w w:val="90"/>
                <w:sz w:val="20"/>
                <w:szCs w:val="24"/>
                <w:lang w:val="en-US"/>
              </w:rPr>
              <w:t>D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)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,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мм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 xml:space="preserve"> / mm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 xml:space="preserve"> </w:t>
            </w:r>
          </w:p>
        </w:tc>
      </w:tr>
      <w:tr w:rsidR="00AE40DA" w:rsidRPr="00AE40DA" w:rsidTr="004A1459">
        <w:trPr>
          <w:trHeight w:val="348"/>
          <w:jc w:val="center"/>
        </w:trPr>
        <w:tc>
          <w:tcPr>
            <w:tcW w:w="2134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+1</w:t>
            </w:r>
          </w:p>
        </w:tc>
        <w:tc>
          <w:tcPr>
            <w:tcW w:w="2151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15</w:t>
            </w:r>
          </w:p>
        </w:tc>
        <w:tc>
          <w:tcPr>
            <w:tcW w:w="2337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10</w:t>
            </w:r>
          </w:p>
        </w:tc>
        <w:tc>
          <w:tcPr>
            <w:tcW w:w="1528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0,02</w:t>
            </w:r>
          </w:p>
        </w:tc>
        <w:tc>
          <w:tcPr>
            <w:tcW w:w="1489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0,3</w:t>
            </w:r>
          </w:p>
        </w:tc>
      </w:tr>
      <w:tr w:rsidR="00AE40DA" w:rsidRPr="00AE40DA" w:rsidTr="004A1459">
        <w:trPr>
          <w:trHeight w:val="348"/>
          <w:jc w:val="center"/>
        </w:trPr>
        <w:tc>
          <w:tcPr>
            <w:tcW w:w="2134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</w:t>
            </w:r>
          </w:p>
        </w:tc>
        <w:tc>
          <w:tcPr>
            <w:tcW w:w="2151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10</w:t>
            </w:r>
          </w:p>
        </w:tc>
        <w:tc>
          <w:tcPr>
            <w:tcW w:w="2337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6</w:t>
            </w:r>
          </w:p>
        </w:tc>
        <w:tc>
          <w:tcPr>
            <w:tcW w:w="1528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0,0125</w:t>
            </w:r>
          </w:p>
        </w:tc>
        <w:tc>
          <w:tcPr>
            <w:tcW w:w="1489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0,2</w:t>
            </w:r>
          </w:p>
        </w:tc>
      </w:tr>
      <w:tr w:rsidR="00AE40DA" w:rsidRPr="00AE40DA" w:rsidTr="004A1459">
        <w:trPr>
          <w:trHeight w:val="348"/>
          <w:jc w:val="center"/>
        </w:trPr>
        <w:tc>
          <w:tcPr>
            <w:tcW w:w="2134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</w:rPr>
              <w:t>–</w:t>
            </w: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1</w:t>
            </w:r>
          </w:p>
        </w:tc>
        <w:tc>
          <w:tcPr>
            <w:tcW w:w="2151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5</w:t>
            </w:r>
          </w:p>
        </w:tc>
        <w:tc>
          <w:tcPr>
            <w:tcW w:w="2337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2</w:t>
            </w:r>
          </w:p>
        </w:tc>
        <w:tc>
          <w:tcPr>
            <w:tcW w:w="1528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0,005</w:t>
            </w:r>
          </w:p>
        </w:tc>
        <w:tc>
          <w:tcPr>
            <w:tcW w:w="1489" w:type="dxa"/>
            <w:vAlign w:val="center"/>
          </w:tcPr>
          <w:p w:rsidR="00AE40DA" w:rsidRPr="00AE40DA" w:rsidRDefault="00AE40DA" w:rsidP="00AE40DA">
            <w:pPr>
              <w:jc w:val="center"/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</w:pPr>
            <w:r w:rsidRPr="00AE40DA">
              <w:rPr>
                <w:rFonts w:ascii="Arial" w:eastAsia="Calibri" w:hAnsi="Arial" w:cs="Arial"/>
                <w:w w:val="90"/>
                <w:sz w:val="20"/>
                <w:szCs w:val="24"/>
                <w:lang w:val="en-US"/>
              </w:rPr>
              <w:t>0,1</w:t>
            </w:r>
          </w:p>
        </w:tc>
      </w:tr>
    </w:tbl>
    <w:p w:rsidR="00AE40DA" w:rsidRPr="00AE40DA" w:rsidRDefault="00AE40DA" w:rsidP="00AE4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w w:val="90"/>
          <w:sz w:val="20"/>
          <w:szCs w:val="24"/>
        </w:rPr>
      </w:pPr>
    </w:p>
    <w:p w:rsidR="00AE40DA" w:rsidRDefault="00AE40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40DA" w:rsidRPr="00AE40DA" w:rsidRDefault="00AE40DA" w:rsidP="00AE40DA">
      <w:pPr>
        <w:spacing w:after="0" w:line="240" w:lineRule="auto"/>
        <w:jc w:val="center"/>
        <w:rPr>
          <w:rFonts w:ascii="Arial" w:eastAsia="Calibri" w:hAnsi="Arial" w:cs="Arial"/>
          <w:bCs/>
          <w:w w:val="90"/>
          <w:sz w:val="20"/>
          <w:szCs w:val="24"/>
        </w:rPr>
      </w:pPr>
      <w:r w:rsidRPr="00AE40DA">
        <w:rPr>
          <w:rFonts w:ascii="Arial" w:eastAsia="Calibri" w:hAnsi="Arial" w:cs="Arial"/>
          <w:bCs/>
          <w:w w:val="90"/>
          <w:sz w:val="20"/>
          <w:szCs w:val="24"/>
        </w:rPr>
        <w:object w:dxaOrig="6498" w:dyaOrig="1661">
          <v:shape id="_x0000_i1026" type="#_x0000_t75" style="width:324.95pt;height:83.25pt" o:ole="">
            <v:imagedata r:id="rId8" o:title=""/>
          </v:shape>
          <o:OLEObject Type="Embed" ProgID="Visio.Drawing.11" ShapeID="_x0000_i1026" DrawAspect="Content" ObjectID="_1635337562" r:id="rId9"/>
        </w:object>
      </w:r>
    </w:p>
    <w:p w:rsidR="00AE40DA" w:rsidRPr="00AE40DA" w:rsidRDefault="00AE40DA" w:rsidP="00AE40DA">
      <w:pPr>
        <w:spacing w:after="0" w:line="240" w:lineRule="auto"/>
        <w:jc w:val="center"/>
        <w:rPr>
          <w:rFonts w:ascii="Arial" w:eastAsia="Calibri" w:hAnsi="Arial" w:cs="Times New Roman"/>
          <w:w w:val="90"/>
          <w:sz w:val="20"/>
        </w:rPr>
      </w:pPr>
    </w:p>
    <w:p w:rsidR="00AE40DA" w:rsidRDefault="00AE40DA" w:rsidP="00AE40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Рис. 1. Принципиальная схема механической колебательной системы с двумя степенями </w:t>
      </w:r>
    </w:p>
    <w:p w:rsidR="00AE40DA" w:rsidRDefault="00AE40DA" w:rsidP="00AE40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</w:pP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свободы с устройствами для преобразования движения 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L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  <w:t>1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, 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L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  <w:t>2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</w:rPr>
        <w:t xml:space="preserve">, 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  <w:t>L</w:t>
      </w:r>
      <w:r w:rsidRPr="00AE40DA">
        <w:rPr>
          <w:rFonts w:ascii="Arial" w:eastAsia="Calibri" w:hAnsi="Arial" w:cs="Arial"/>
          <w:b/>
          <w:bCs/>
          <w:i/>
          <w:w w:val="90"/>
          <w:sz w:val="20"/>
          <w:szCs w:val="24"/>
          <w:vertAlign w:val="subscript"/>
        </w:rPr>
        <w:t>3</w:t>
      </w:r>
    </w:p>
    <w:p w:rsidR="00AE40DA" w:rsidRPr="00AE40DA" w:rsidRDefault="00AE40DA" w:rsidP="00AE40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</w:p>
    <w:p w:rsidR="00AE40DA" w:rsidRDefault="00AE40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color w:val="000000"/>
          <w:w w:val="90"/>
          <w:sz w:val="20"/>
          <w:lang w:val="en-US"/>
        </w:rPr>
      </w:pPr>
      <w:r w:rsidRPr="007247F5">
        <w:rPr>
          <w:rFonts w:ascii="Arial" w:eastAsia="Calibri" w:hAnsi="Arial" w:cs="Arial"/>
          <w:bCs/>
          <w:w w:val="90"/>
          <w:position w:val="-30"/>
          <w:sz w:val="20"/>
          <w:szCs w:val="24"/>
        </w:rPr>
        <w:object w:dxaOrig="1719" w:dyaOrig="680">
          <v:shape id="_x0000_i1027" type="#_x0000_t75" style="width:86.4pt;height:33.8pt" o:ole="">
            <v:imagedata r:id="rId10" o:title=""/>
          </v:shape>
          <o:OLEObject Type="Embed" ProgID="Equation.DSMT4" ShapeID="_x0000_i1027" DrawAspect="Content" ObjectID="_1635337563" r:id="rId11"/>
        </w:object>
      </w:r>
    </w:p>
    <w:p w:rsidR="007247F5" w:rsidRDefault="007247F5">
      <w:pPr>
        <w:rPr>
          <w:rFonts w:ascii="Arial" w:eastAsia="Calibri" w:hAnsi="Arial" w:cs="Times New Roman"/>
          <w:color w:val="000000"/>
          <w:w w:val="90"/>
          <w:sz w:val="20"/>
          <w:lang w:val="en-US"/>
        </w:rPr>
      </w:pPr>
      <w:r>
        <w:rPr>
          <w:rFonts w:ascii="Arial" w:eastAsia="Calibri" w:hAnsi="Arial" w:cs="Times New Roman"/>
          <w:color w:val="000000"/>
          <w:w w:val="90"/>
          <w:sz w:val="20"/>
          <w:lang w:val="en-US"/>
        </w:rPr>
        <w:br w:type="page"/>
      </w: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w w:val="90"/>
          <w:sz w:val="20"/>
          <w:szCs w:val="24"/>
        </w:rPr>
      </w:pPr>
      <w:r w:rsidRPr="007247F5">
        <w:rPr>
          <w:rFonts w:ascii="Times New Roman" w:eastAsia="Calibri" w:hAnsi="Times New Roman" w:cs="Times New Roman"/>
          <w:b/>
          <w:noProof/>
          <w:w w:val="90"/>
          <w:sz w:val="20"/>
          <w:szCs w:val="24"/>
          <w:lang w:eastAsia="ru-RU"/>
        </w:rPr>
        <w:lastRenderedPageBreak/>
        <w:drawing>
          <wp:inline distT="0" distB="0" distL="0" distR="0" wp14:anchorId="563EC8B7" wp14:editId="41A6F01E">
            <wp:extent cx="2468880" cy="1981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F5">
        <w:rPr>
          <w:rFonts w:ascii="Times New Roman" w:eastAsia="Calibri" w:hAnsi="Times New Roman" w:cs="Times New Roman"/>
          <w:b/>
          <w:noProof/>
          <w:w w:val="90"/>
          <w:sz w:val="20"/>
          <w:szCs w:val="24"/>
        </w:rPr>
        <w:tab/>
      </w:r>
      <w:r w:rsidRPr="007247F5">
        <w:rPr>
          <w:rFonts w:ascii="Times New Roman" w:eastAsia="Calibri" w:hAnsi="Times New Roman" w:cs="Times New Roman"/>
          <w:b/>
          <w:noProof/>
          <w:w w:val="90"/>
          <w:sz w:val="20"/>
          <w:szCs w:val="24"/>
        </w:rPr>
        <w:tab/>
      </w:r>
      <w:r w:rsidRPr="007247F5">
        <w:rPr>
          <w:rFonts w:ascii="Times New Roman" w:eastAsia="Calibri" w:hAnsi="Times New Roman" w:cs="Times New Roman"/>
          <w:b/>
          <w:noProof/>
          <w:w w:val="90"/>
          <w:sz w:val="20"/>
          <w:szCs w:val="24"/>
          <w:lang w:eastAsia="ru-RU"/>
        </w:rPr>
        <w:drawing>
          <wp:inline distT="0" distB="0" distL="0" distR="0" wp14:anchorId="3C568E5C" wp14:editId="5FA022A2">
            <wp:extent cx="2278380" cy="1981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b/>
          <w:i/>
          <w:w w:val="90"/>
          <w:sz w:val="20"/>
          <w:szCs w:val="24"/>
        </w:rPr>
      </w:pP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>а</w:t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w w:val="90"/>
          <w:sz w:val="20"/>
          <w:szCs w:val="24"/>
        </w:rPr>
        <w:tab/>
      </w: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  <w:lang w:val="en-US"/>
        </w:rPr>
        <w:t>b</w:t>
      </w: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b/>
          <w:w w:val="90"/>
          <w:sz w:val="20"/>
          <w:szCs w:val="24"/>
        </w:rPr>
      </w:pP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b/>
          <w:i/>
          <w:w w:val="90"/>
          <w:sz w:val="20"/>
          <w:szCs w:val="24"/>
        </w:rPr>
      </w:pP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>Рис. 3. Поперечный разрез зоны проплавления при сварке в аргоне (сила тока – 80</w:t>
      </w:r>
      <w:proofErr w:type="gramStart"/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 xml:space="preserve"> А</w:t>
      </w:r>
      <w:proofErr w:type="gramEnd"/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>,</w:t>
      </w: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b/>
          <w:i/>
          <w:w w:val="90"/>
          <w:sz w:val="20"/>
          <w:szCs w:val="24"/>
        </w:rPr>
      </w:pP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 xml:space="preserve">длина дуги – 2 мм, скорость сварки – 18 см/мин): а – без активирующего флюса; </w:t>
      </w: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  <w:lang w:val="en-US"/>
        </w:rPr>
        <w:t>b</w:t>
      </w:r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 xml:space="preserve"> – с активирующим флюсом (</w:t>
      </w:r>
      <w:proofErr w:type="spellStart"/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>нанокремнезем</w:t>
      </w:r>
      <w:proofErr w:type="spellEnd"/>
      <w:r w:rsidRPr="007247F5">
        <w:rPr>
          <w:rFonts w:ascii="Arial" w:eastAsia="Calibri" w:hAnsi="Arial" w:cs="Times New Roman"/>
          <w:b/>
          <w:i/>
          <w:w w:val="90"/>
          <w:sz w:val="20"/>
          <w:szCs w:val="24"/>
        </w:rPr>
        <w:t>); в качестве связующего использован термостойкий лак</w:t>
      </w:r>
    </w:p>
    <w:p w:rsid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color w:val="000000"/>
          <w:w w:val="90"/>
          <w:sz w:val="20"/>
        </w:rPr>
      </w:pPr>
    </w:p>
    <w:p w:rsidR="007247F5" w:rsidRDefault="007247F5">
      <w:pPr>
        <w:rPr>
          <w:rFonts w:ascii="Arial" w:eastAsia="Calibri" w:hAnsi="Arial" w:cs="Times New Roman"/>
          <w:color w:val="000000"/>
          <w:w w:val="90"/>
          <w:sz w:val="20"/>
        </w:rPr>
      </w:pPr>
      <w:r>
        <w:rPr>
          <w:rFonts w:ascii="Arial" w:eastAsia="Calibri" w:hAnsi="Arial" w:cs="Times New Roman"/>
          <w:color w:val="000000"/>
          <w:w w:val="90"/>
          <w:sz w:val="20"/>
        </w:rPr>
        <w:br w:type="page"/>
      </w:r>
    </w:p>
    <w:p w:rsidR="007247F5" w:rsidRPr="007247F5" w:rsidRDefault="007247F5" w:rsidP="007247F5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Cs/>
          <w:w w:val="90"/>
          <w:sz w:val="20"/>
          <w:szCs w:val="24"/>
          <w:lang w:val="en-US"/>
        </w:rPr>
      </w:pPr>
      <w:r w:rsidRPr="007247F5">
        <w:rPr>
          <w:rFonts w:ascii="Arial" w:eastAsia="Calibri" w:hAnsi="Arial" w:cs="Arial"/>
          <w:noProof/>
          <w:w w:val="90"/>
          <w:sz w:val="20"/>
          <w:szCs w:val="24"/>
          <w:lang w:eastAsia="ru-RU"/>
        </w:rPr>
        <w:lastRenderedPageBreak/>
        <w:drawing>
          <wp:inline distT="0" distB="0" distL="0" distR="0" wp14:anchorId="0889F72F" wp14:editId="2FDC7043">
            <wp:extent cx="4320540" cy="2377440"/>
            <wp:effectExtent l="0" t="0" r="381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47F5" w:rsidRPr="007247F5" w:rsidRDefault="007247F5" w:rsidP="007247F5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</w:rPr>
      </w:pPr>
      <w:r w:rsidRPr="007247F5">
        <w:rPr>
          <w:rFonts w:ascii="Arial" w:eastAsia="Calibri" w:hAnsi="Arial" w:cs="Arial"/>
          <w:b/>
          <w:bCs/>
          <w:i/>
          <w:w w:val="90"/>
          <w:sz w:val="20"/>
          <w:szCs w:val="24"/>
        </w:rPr>
        <w:t>Рис. 2. Рас</w:t>
      </w:r>
      <w:bookmarkStart w:id="0" w:name="_GoBack"/>
      <w:bookmarkEnd w:id="0"/>
      <w:r w:rsidRPr="007247F5">
        <w:rPr>
          <w:rFonts w:ascii="Arial" w:eastAsia="Calibri" w:hAnsi="Arial" w:cs="Arial"/>
          <w:b/>
          <w:bCs/>
          <w:i/>
          <w:w w:val="90"/>
          <w:sz w:val="20"/>
          <w:szCs w:val="24"/>
        </w:rPr>
        <w:t>пределение повреждений по величине испытательного давления</w:t>
      </w:r>
    </w:p>
    <w:p w:rsidR="007247F5" w:rsidRPr="007247F5" w:rsidRDefault="007247F5" w:rsidP="007247F5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i/>
          <w:w w:val="90"/>
          <w:sz w:val="20"/>
          <w:szCs w:val="24"/>
          <w:lang w:val="en-US"/>
        </w:rPr>
      </w:pPr>
    </w:p>
    <w:p w:rsidR="007247F5" w:rsidRPr="007247F5" w:rsidRDefault="007247F5" w:rsidP="007247F5">
      <w:pPr>
        <w:spacing w:after="0" w:line="240" w:lineRule="auto"/>
        <w:jc w:val="both"/>
        <w:rPr>
          <w:rFonts w:ascii="Arial" w:eastAsia="Calibri" w:hAnsi="Arial" w:cs="Times New Roman"/>
          <w:w w:val="90"/>
          <w:sz w:val="20"/>
          <w:lang w:val="en-US"/>
        </w:rPr>
      </w:pPr>
    </w:p>
    <w:p w:rsidR="007247F5" w:rsidRPr="007247F5" w:rsidRDefault="007247F5" w:rsidP="007247F5">
      <w:pPr>
        <w:widowControl w:val="0"/>
        <w:spacing w:after="0" w:line="240" w:lineRule="auto"/>
        <w:jc w:val="center"/>
        <w:rPr>
          <w:rFonts w:ascii="Arial" w:eastAsia="Calibri" w:hAnsi="Arial" w:cs="Times New Roman"/>
          <w:color w:val="000000"/>
          <w:w w:val="90"/>
          <w:sz w:val="20"/>
          <w:lang w:val="en-US"/>
        </w:rPr>
      </w:pPr>
    </w:p>
    <w:sectPr w:rsidR="007247F5" w:rsidRPr="007247F5" w:rsidSect="00A45B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45"/>
    <w:rsid w:val="00133745"/>
    <w:rsid w:val="00563B50"/>
    <w:rsid w:val="007247F5"/>
    <w:rsid w:val="00A45BB3"/>
    <w:rsid w:val="00A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44;&#1072;&#1074;&#1083;&#1077;&#1085;&#1080;&#1103;_v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619345859429367E-2"/>
          <c:y val="1.9342359767891684E-2"/>
          <c:w val="0.76581899078899052"/>
          <c:h val="0.927466150870406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dk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36%</a:t>
                    </a:r>
                  </a:p>
                </c:rich>
              </c:tx>
              <c:numFmt formatCode="0%" sourceLinked="0"/>
              <c:spPr>
                <a:solidFill>
                  <a:schemeClr val="bg1"/>
                </a:solidFill>
                <a:ln w="25400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solidFill>
                <a:schemeClr val="bg1"/>
              </a:solidFill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'[1]2015'!$B$60:$B$62</c:f>
              <c:strCache>
                <c:ptCount val="3"/>
                <c:pt idx="0">
                  <c:v>1,6-1,8 МПа</c:v>
                </c:pt>
                <c:pt idx="1">
                  <c:v>1,0-1,4 МПа</c:v>
                </c:pt>
                <c:pt idx="2">
                  <c:v>до 1,0 МПа</c:v>
                </c:pt>
              </c:strCache>
            </c:strRef>
          </c:cat>
          <c:val>
            <c:numRef>
              <c:f>'[1]2015'!$C$60:$C$62</c:f>
              <c:numCache>
                <c:formatCode>General</c:formatCode>
                <c:ptCount val="3"/>
                <c:pt idx="0">
                  <c:v>0.31707317073170732</c:v>
                </c:pt>
                <c:pt idx="1">
                  <c:v>0.36585365853658536</c:v>
                </c:pt>
                <c:pt idx="2">
                  <c:v>0.31707317073170732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78C-F8D3-4E5A-967F-00792BDE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Щепина Людмила Михайловна</dc:creator>
  <cp:lastModifiedBy>Щепина Людмила Михайловна</cp:lastModifiedBy>
  <cp:revision>5</cp:revision>
  <dcterms:created xsi:type="dcterms:W3CDTF">2019-11-15T07:32:00Z</dcterms:created>
  <dcterms:modified xsi:type="dcterms:W3CDTF">2019-11-15T07:39:00Z</dcterms:modified>
</cp:coreProperties>
</file>